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eastAsia="方正小标宋简体"/>
          <w:color w:val="FF0000"/>
          <w:w w:val="70"/>
          <w:sz w:val="72"/>
          <w:szCs w:val="72"/>
        </w:rPr>
      </w:pPr>
      <w:r>
        <w:rPr>
          <w:rFonts w:hint="eastAsia" w:ascii="方正小标宋简体" w:eastAsia="方正小标宋简体"/>
          <w:color w:val="FF0000"/>
          <w:w w:val="70"/>
          <w:sz w:val="72"/>
          <w:szCs w:val="72"/>
        </w:rPr>
        <w:t>共青团上海对外经贸大学委员会文件</w:t>
      </w:r>
    </w:p>
    <w:p>
      <w:pPr>
        <w:jc w:val="center"/>
        <w:rPr>
          <w:rFonts w:ascii="仿宋_GB2312" w:hAnsi="仿宋" w:eastAsia="仿宋_GB2312"/>
          <w:bCs/>
          <w:sz w:val="32"/>
          <w:szCs w:val="32"/>
        </w:rPr>
      </w:pPr>
      <w:bookmarkStart w:id="0" w:name="_GoBack"/>
      <w:bookmarkEnd w:id="0"/>
      <w:r>
        <w:rPr>
          <w:rFonts w:hint="eastAsia" w:ascii="仿宋_GB2312" w:hAnsi="仿宋" w:eastAsia="仿宋_GB2312"/>
        </w:rPr>
        <mc:AlternateContent>
          <mc:Choice Requires="wps">
            <w:drawing>
              <wp:anchor distT="0" distB="0" distL="114300" distR="114300" simplePos="0" relativeHeight="251660288" behindDoc="0" locked="0" layoutInCell="1" allowOverlap="1">
                <wp:simplePos x="0" y="0"/>
                <wp:positionH relativeFrom="column">
                  <wp:posOffset>1553210</wp:posOffset>
                </wp:positionH>
                <wp:positionV relativeFrom="paragraph">
                  <wp:posOffset>288925</wp:posOffset>
                </wp:positionV>
                <wp:extent cx="2266315" cy="487680"/>
                <wp:effectExtent l="4445" t="0" r="0" b="190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66315" cy="487680"/>
                        </a:xfrm>
                        <a:prstGeom prst="rect">
                          <a:avLst/>
                        </a:prstGeom>
                        <a:solidFill>
                          <a:srgbClr val="FFFFFF"/>
                        </a:solidFill>
                        <a:ln>
                          <a:noFill/>
                        </a:ln>
                      </wps:spPr>
                      <wps:txbx>
                        <w:txbxContent>
                          <w:p>
                            <w:pPr>
                              <w:jc w:val="center"/>
                              <w:rPr>
                                <w:rFonts w:ascii="仿宋_GB2312" w:hAnsi="宋体" w:eastAsia="仿宋_GB2312"/>
                                <w:bCs/>
                                <w:sz w:val="32"/>
                                <w:szCs w:val="32"/>
                              </w:rPr>
                            </w:pPr>
                            <w:r>
                              <w:rPr>
                                <w:rFonts w:hint="eastAsia" w:ascii="仿宋_GB2312" w:hAnsi="宋体" w:eastAsia="仿宋_GB2312"/>
                                <w:bCs/>
                                <w:sz w:val="32"/>
                                <w:szCs w:val="32"/>
                              </w:rPr>
                              <w:t>沪经贸</w:t>
                            </w:r>
                            <w:r>
                              <w:rPr>
                                <w:rFonts w:hint="eastAsia" w:ascii="仿宋_GB2312" w:hAnsi="宋体" w:eastAsia="仿宋_GB2312"/>
                                <w:bCs/>
                                <w:sz w:val="32"/>
                                <w:szCs w:val="32"/>
                                <w:lang w:val="en-US" w:eastAsia="zh-CN"/>
                              </w:rPr>
                              <w:t>大</w:t>
                            </w:r>
                            <w:r>
                              <w:rPr>
                                <w:rFonts w:hint="eastAsia" w:ascii="仿宋_GB2312" w:hAnsi="宋体" w:eastAsia="仿宋_GB2312"/>
                                <w:bCs/>
                                <w:sz w:val="32"/>
                                <w:szCs w:val="32"/>
                              </w:rPr>
                              <w:t>团〔</w:t>
                            </w:r>
                            <w:r>
                              <w:rPr>
                                <w:rFonts w:eastAsia="仿宋_GB2312"/>
                                <w:sz w:val="32"/>
                                <w:szCs w:val="32"/>
                              </w:rPr>
                              <w:t>20</w:t>
                            </w:r>
                            <w:r>
                              <w:rPr>
                                <w:rFonts w:hint="eastAsia" w:eastAsia="仿宋_GB2312"/>
                                <w:sz w:val="32"/>
                                <w:szCs w:val="32"/>
                              </w:rPr>
                              <w:t>21</w:t>
                            </w:r>
                            <w:r>
                              <w:rPr>
                                <w:rFonts w:hint="eastAsia" w:ascii="仿宋_GB2312" w:hAnsi="宋体" w:eastAsia="仿宋_GB2312"/>
                                <w:bCs/>
                                <w:sz w:val="32"/>
                                <w:szCs w:val="32"/>
                              </w:rPr>
                              <w:t>〕</w:t>
                            </w:r>
                            <w:r>
                              <w:rPr>
                                <w:rFonts w:eastAsia="仿宋_GB2312"/>
                                <w:bCs/>
                                <w:sz w:val="32"/>
                                <w:szCs w:val="32"/>
                              </w:rPr>
                              <w:t>18</w:t>
                            </w:r>
                            <w:r>
                              <w:rPr>
                                <w:rFonts w:hint="eastAsia" w:ascii="仿宋_GB2312" w:hAnsi="宋体" w:eastAsia="仿宋_GB2312"/>
                                <w:bCs/>
                                <w:sz w:val="32"/>
                                <w:szCs w:val="32"/>
                              </w:rPr>
                              <w:t>号</w:t>
                            </w:r>
                          </w:p>
                        </w:txbxContent>
                      </wps:txbx>
                      <wps:bodyPr rot="0" vert="horz" wrap="none" lIns="91440" tIns="45720" rIns="91440" bIns="45720" anchor="t" anchorCtr="0" upright="1">
                        <a:spAutoFit/>
                      </wps:bodyPr>
                    </wps:wsp>
                  </a:graphicData>
                </a:graphic>
              </wp:anchor>
            </w:drawing>
          </mc:Choice>
          <mc:Fallback>
            <w:pict>
              <v:shape id="_x0000_s1026" o:spid="_x0000_s1026" o:spt="202" type="#_x0000_t202" style="position:absolute;left:0pt;margin-left:122.3pt;margin-top:22.75pt;height:38.4pt;width:178.45pt;mso-wrap-distance-bottom:0pt;mso-wrap-distance-left:9pt;mso-wrap-distance-right:9pt;mso-wrap-distance-top:0pt;mso-wrap-style:none;z-index:251660288;mso-width-relative:page;mso-height-relative:page;" fillcolor="#FFFFFF" filled="t" stroked="f" coordsize="21600,21600" o:gfxdata="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DHgSv2QAAAAoBAAAPAAAAAAAAAAEAIAAAACIAAABkcnMvZG93bnJldi54bWxQSwECFAAU&#10;AAAACACHTuJAgHRr8ykCAAA8BAAADgAAAAAAAAABACAAAAAoAQAAZHJzL2Uyb0RvYy54bWxQSwUG&#10;AAAAAAYABgBZAQAAwwUAAAAA&#10;">
                <v:fill on="t" focussize="0,0"/>
                <v:stroke on="f"/>
                <v:imagedata o:title=""/>
                <o:lock v:ext="edit" aspectratio="f"/>
                <v:textbox style="mso-fit-shape-to-text:t;">
                  <w:txbxContent>
                    <w:p>
                      <w:pPr>
                        <w:jc w:val="center"/>
                        <w:rPr>
                          <w:rFonts w:ascii="仿宋_GB2312" w:hAnsi="宋体" w:eastAsia="仿宋_GB2312"/>
                          <w:bCs/>
                          <w:sz w:val="32"/>
                          <w:szCs w:val="32"/>
                        </w:rPr>
                      </w:pPr>
                      <w:r>
                        <w:rPr>
                          <w:rFonts w:hint="eastAsia" w:ascii="仿宋_GB2312" w:hAnsi="宋体" w:eastAsia="仿宋_GB2312"/>
                          <w:bCs/>
                          <w:sz w:val="32"/>
                          <w:szCs w:val="32"/>
                        </w:rPr>
                        <w:t>沪经贸</w:t>
                      </w:r>
                      <w:r>
                        <w:rPr>
                          <w:rFonts w:hint="eastAsia" w:ascii="仿宋_GB2312" w:hAnsi="宋体" w:eastAsia="仿宋_GB2312"/>
                          <w:bCs/>
                          <w:sz w:val="32"/>
                          <w:szCs w:val="32"/>
                          <w:lang w:val="en-US" w:eastAsia="zh-CN"/>
                        </w:rPr>
                        <w:t>大</w:t>
                      </w:r>
                      <w:r>
                        <w:rPr>
                          <w:rFonts w:hint="eastAsia" w:ascii="仿宋_GB2312" w:hAnsi="宋体" w:eastAsia="仿宋_GB2312"/>
                          <w:bCs/>
                          <w:sz w:val="32"/>
                          <w:szCs w:val="32"/>
                        </w:rPr>
                        <w:t>团〔</w:t>
                      </w:r>
                      <w:r>
                        <w:rPr>
                          <w:rFonts w:eastAsia="仿宋_GB2312"/>
                          <w:sz w:val="32"/>
                          <w:szCs w:val="32"/>
                        </w:rPr>
                        <w:t>20</w:t>
                      </w:r>
                      <w:r>
                        <w:rPr>
                          <w:rFonts w:hint="eastAsia" w:eastAsia="仿宋_GB2312"/>
                          <w:sz w:val="32"/>
                          <w:szCs w:val="32"/>
                        </w:rPr>
                        <w:t>21</w:t>
                      </w:r>
                      <w:r>
                        <w:rPr>
                          <w:rFonts w:hint="eastAsia" w:ascii="仿宋_GB2312" w:hAnsi="宋体" w:eastAsia="仿宋_GB2312"/>
                          <w:bCs/>
                          <w:sz w:val="32"/>
                          <w:szCs w:val="32"/>
                        </w:rPr>
                        <w:t>〕</w:t>
                      </w:r>
                      <w:r>
                        <w:rPr>
                          <w:rFonts w:eastAsia="仿宋_GB2312"/>
                          <w:bCs/>
                          <w:sz w:val="32"/>
                          <w:szCs w:val="32"/>
                        </w:rPr>
                        <w:t>18</w:t>
                      </w:r>
                      <w:r>
                        <w:rPr>
                          <w:rFonts w:hint="eastAsia" w:ascii="仿宋_GB2312" w:hAnsi="宋体" w:eastAsia="仿宋_GB2312"/>
                          <w:bCs/>
                          <w:sz w:val="32"/>
                          <w:szCs w:val="32"/>
                        </w:rPr>
                        <w:t>号</w:t>
                      </w:r>
                    </w:p>
                  </w:txbxContent>
                </v:textbox>
                <w10:wrap type="square"/>
              </v:shape>
            </w:pict>
          </mc:Fallback>
        </mc:AlternateContent>
      </w:r>
      <w:r>
        <w:rPr>
          <w:rFonts w:hint="eastAsia" w:ascii="仿宋_GB2312" w:hAnsi="仿宋" w:eastAsia="仿宋_GB2312"/>
          <w:bCs/>
          <w:sz w:val="32"/>
          <w:szCs w:val="32"/>
        </w:rPr>
        <mc:AlternateContent>
          <mc:Choice Requires="wps">
            <w:drawing>
              <wp:anchor distT="0" distB="0" distL="114300" distR="114300" simplePos="0" relativeHeight="251659264" behindDoc="0" locked="0" layoutInCell="1" allowOverlap="1">
                <wp:simplePos x="0" y="0"/>
                <wp:positionH relativeFrom="column">
                  <wp:posOffset>4825365</wp:posOffset>
                </wp:positionH>
                <wp:positionV relativeFrom="paragraph">
                  <wp:posOffset>73660</wp:posOffset>
                </wp:positionV>
                <wp:extent cx="800100" cy="4972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00100" cy="497205"/>
                        </a:xfrm>
                        <a:prstGeom prst="rect">
                          <a:avLst/>
                        </a:prstGeom>
                        <a:noFill/>
                        <a:ln>
                          <a:noFill/>
                        </a:ln>
                      </wps:spPr>
                      <wps:txbx>
                        <w:txbxContent>
                          <w:p>
                            <w:pPr>
                              <w:tabs>
                                <w:tab w:val="left" w:pos="658"/>
                              </w:tabs>
                              <w:rPr>
                                <w:rFonts w:ascii="仿宋_GB2312" w:eastAsia="仿宋_GB2312"/>
                                <w:b/>
                                <w:sz w:val="44"/>
                                <w:szCs w:val="4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9.95pt;margin-top:5.8pt;height:39.15pt;width:63pt;z-index:251659264;mso-width-relative:page;mso-height-relative:page;" filled="f" stroked="f" coordsize="21600,21600" o:gfxdata="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6eE29YAAAAJAQAADwAAAAAAAAAB&#10;ACAAAAAiAAAAZHJzL2Rvd25yZXYueG1sUEsBAhQAFAAAAAgAh07iQPS/s3ISAgAAFAQAAA4AAAAA&#10;AAAAAQAgAAAAJQEAAGRycy9lMm9Eb2MueG1sUEsFBgAAAAAGAAYAWQEAAKkFAAAAAA==&#10;">
                <v:fill on="f" focussize="0,0"/>
                <v:stroke on="f"/>
                <v:imagedata o:title=""/>
                <o:lock v:ext="edit" aspectratio="f"/>
                <v:textbox>
                  <w:txbxContent>
                    <w:p>
                      <w:pPr>
                        <w:tabs>
                          <w:tab w:val="left" w:pos="658"/>
                        </w:tabs>
                        <w:rPr>
                          <w:rFonts w:ascii="仿宋_GB2312" w:eastAsia="仿宋_GB2312"/>
                          <w:b/>
                          <w:sz w:val="44"/>
                          <w:szCs w:val="44"/>
                        </w:rPr>
                      </w:pPr>
                    </w:p>
                  </w:txbxContent>
                </v:textbox>
              </v:shape>
            </w:pict>
          </mc:Fallback>
        </mc:AlternateContent>
      </w:r>
    </w:p>
    <w:p>
      <w:pPr>
        <w:tabs>
          <w:tab w:val="left" w:pos="7455"/>
        </w:tabs>
        <w:wordWrap w:val="0"/>
        <w:jc w:val="right"/>
        <w:rPr>
          <w:rFonts w:ascii="仿宋_GB2312" w:hAnsi="仿宋" w:eastAsia="仿宋_GB2312"/>
          <w:bCs/>
          <w:sz w:val="44"/>
          <w:szCs w:val="44"/>
        </w:rPr>
      </w:pPr>
      <w:r>
        <w:rPr>
          <w:rFonts w:hint="eastAsia" w:ascii="仿宋_GB2312" w:hAnsi="仿宋" w:eastAsia="仿宋_GB2312"/>
          <w:bCs/>
          <w:sz w:val="44"/>
          <w:szCs w:val="44"/>
        </w:rPr>
        <w:t xml:space="preserve">         </w:t>
      </w:r>
    </w:p>
    <w:p>
      <w:pPr>
        <w:spacing w:line="160" w:lineRule="exact"/>
        <w:rPr>
          <w:rFonts w:ascii="方正姚体" w:hAnsi="等线" w:eastAsia="方正姚体"/>
          <w:color w:val="FF0000"/>
          <w:sz w:val="72"/>
          <w:szCs w:val="72"/>
          <w:u w:val="single"/>
        </w:rPr>
      </w:pPr>
      <w:r>
        <w:rPr>
          <w:rFonts w:hint="eastAsia" w:ascii="方正姚体" w:hAnsi="等线" w:eastAsia="方正姚体"/>
          <w:color w:val="FF0000"/>
          <w:sz w:val="72"/>
          <w:szCs w:val="72"/>
          <w:u w:val="single"/>
        </w:rPr>
        <w:t xml:space="preserve">                           </w:t>
      </w:r>
    </w:p>
    <w:p>
      <w:pPr>
        <w:jc w:val="center"/>
        <w:rPr>
          <w:rFonts w:ascii="仿宋_GB2312" w:hAnsi="仿宋" w:eastAsia="仿宋_GB2312"/>
          <w:sz w:val="36"/>
          <w:szCs w:val="36"/>
        </w:rPr>
      </w:pPr>
    </w:p>
    <w:p>
      <w:pPr>
        <w:spacing w:line="560" w:lineRule="exact"/>
        <w:jc w:val="center"/>
        <w:rPr>
          <w:rFonts w:ascii="方正小标宋简体" w:hAnsi="华文中宋" w:eastAsia="方正小标宋简体"/>
          <w:b/>
          <w:sz w:val="44"/>
          <w:szCs w:val="44"/>
        </w:rPr>
      </w:pPr>
      <w:r>
        <w:rPr>
          <w:rFonts w:hint="eastAsia" w:ascii="方正小标宋简体" w:hAnsi="华文中宋" w:eastAsia="方正小标宋简体"/>
          <w:b/>
          <w:sz w:val="44"/>
          <w:szCs w:val="44"/>
        </w:rPr>
        <w:t>关于开展上海对外经贸大学共青团</w:t>
      </w:r>
    </w:p>
    <w:p>
      <w:pPr>
        <w:spacing w:line="560" w:lineRule="exact"/>
        <w:jc w:val="center"/>
        <w:rPr>
          <w:rFonts w:ascii="方正小标宋简体" w:hAnsi="华文中宋" w:eastAsia="方正小标宋简体"/>
          <w:b/>
          <w:sz w:val="44"/>
          <w:szCs w:val="44"/>
        </w:rPr>
      </w:pPr>
      <w:r>
        <w:rPr>
          <w:rFonts w:hint="eastAsia" w:ascii="方正小标宋简体" w:hAnsi="华文中宋" w:eastAsia="方正小标宋简体"/>
          <w:b/>
          <w:sz w:val="44"/>
          <w:szCs w:val="44"/>
        </w:rPr>
        <w:t>党史学习教育的通知</w:t>
      </w:r>
    </w:p>
    <w:p>
      <w:pPr>
        <w:spacing w:line="560" w:lineRule="exact"/>
        <w:rPr>
          <w:rFonts w:ascii="仿宋_GB2312" w:hAnsi="仿宋" w:eastAsia="仿宋_GB2312" w:cs="仿宋"/>
          <w:b/>
          <w:color w:val="000000"/>
          <w:sz w:val="32"/>
          <w:szCs w:val="32"/>
        </w:rPr>
      </w:pPr>
    </w:p>
    <w:p>
      <w:pPr>
        <w:spacing w:line="560" w:lineRule="exact"/>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各学院团委（直属团支部）：</w:t>
      </w:r>
    </w:p>
    <w:p>
      <w:pPr>
        <w:pStyle w:val="7"/>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为深入学习贯彻习近平总书记在党史学习教育动员大会上的重要讲话精神，全面贯彻落实学校党委和团市委关于党史学习教育各项部署要求，扎实有序做好全校各级团组织和团员青年的党史学习教育工作，现将我校共青团党史学习教育有关事项通知如下：</w:t>
      </w:r>
    </w:p>
    <w:p>
      <w:pPr>
        <w:pStyle w:val="7"/>
        <w:spacing w:line="560" w:lineRule="exact"/>
        <w:ind w:firstLine="640"/>
        <w:rPr>
          <w:rFonts w:ascii="仿宋" w:hAnsi="仿宋" w:eastAsia="仿宋" w:cs="仿宋"/>
          <w:sz w:val="32"/>
          <w:szCs w:val="32"/>
        </w:rPr>
      </w:pPr>
    </w:p>
    <w:p>
      <w:pPr>
        <w:pStyle w:val="7"/>
        <w:overflowPunct w:val="0"/>
        <w:adjustRightInd w:val="0"/>
        <w:snapToGrid w:val="0"/>
        <w:spacing w:line="560" w:lineRule="exact"/>
        <w:ind w:firstLine="0" w:firstLineChars="0"/>
        <w:rPr>
          <w:rFonts w:ascii="黑体" w:hAnsi="黑体" w:eastAsia="黑体" w:cs="仿宋"/>
          <w:b/>
          <w:bCs/>
          <w:sz w:val="32"/>
          <w:szCs w:val="32"/>
        </w:rPr>
      </w:pPr>
      <w:r>
        <w:rPr>
          <w:rFonts w:hint="eastAsia" w:ascii="黑体" w:hAnsi="黑体" w:eastAsia="黑体" w:cs="仿宋"/>
          <w:b/>
          <w:bCs/>
          <w:sz w:val="32"/>
          <w:szCs w:val="32"/>
        </w:rPr>
        <w:t>一、主题</w:t>
      </w:r>
    </w:p>
    <w:p>
      <w:pPr>
        <w:pStyle w:val="7"/>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学党史、强信念、跟党走</w:t>
      </w:r>
    </w:p>
    <w:p>
      <w:pPr>
        <w:pStyle w:val="7"/>
        <w:spacing w:line="560" w:lineRule="exact"/>
        <w:ind w:firstLine="640"/>
        <w:rPr>
          <w:rFonts w:ascii="仿宋" w:hAnsi="仿宋" w:eastAsia="仿宋" w:cs="仿宋"/>
          <w:sz w:val="32"/>
          <w:szCs w:val="32"/>
        </w:rPr>
      </w:pPr>
    </w:p>
    <w:p>
      <w:pPr>
        <w:pStyle w:val="7"/>
        <w:overflowPunct w:val="0"/>
        <w:adjustRightInd w:val="0"/>
        <w:snapToGrid w:val="0"/>
        <w:spacing w:line="560" w:lineRule="exact"/>
        <w:ind w:firstLine="0" w:firstLineChars="0"/>
        <w:rPr>
          <w:rFonts w:ascii="黑体" w:hAnsi="黑体" w:eastAsia="黑体" w:cs="仿宋"/>
          <w:b/>
          <w:bCs/>
          <w:sz w:val="32"/>
          <w:szCs w:val="32"/>
        </w:rPr>
      </w:pPr>
      <w:r>
        <w:rPr>
          <w:rFonts w:hint="eastAsia" w:ascii="黑体" w:hAnsi="黑体" w:eastAsia="黑体" w:cs="仿宋"/>
          <w:b/>
          <w:bCs/>
          <w:sz w:val="32"/>
          <w:szCs w:val="32"/>
        </w:rPr>
        <w:t>二、参加对象</w:t>
      </w:r>
    </w:p>
    <w:p>
      <w:pPr>
        <w:pStyle w:val="7"/>
        <w:spacing w:line="560" w:lineRule="exact"/>
        <w:ind w:firstLine="640"/>
        <w:rPr>
          <w:rFonts w:eastAsia="仿宋_GB2312"/>
          <w:sz w:val="32"/>
          <w:szCs w:val="32"/>
        </w:rPr>
      </w:pPr>
      <w:r>
        <w:rPr>
          <w:rFonts w:hint="eastAsia" w:eastAsia="仿宋_GB2312"/>
          <w:sz w:val="32"/>
          <w:szCs w:val="32"/>
        </w:rPr>
        <w:t>全校各级共青团组织和全体团员青年</w:t>
      </w:r>
    </w:p>
    <w:p>
      <w:pPr>
        <w:pStyle w:val="7"/>
        <w:spacing w:line="560" w:lineRule="exact"/>
        <w:ind w:firstLine="640"/>
        <w:rPr>
          <w:rFonts w:ascii="黑体" w:hAnsi="黑体" w:eastAsia="黑体" w:cs="仿宋"/>
          <w:sz w:val="32"/>
          <w:szCs w:val="32"/>
        </w:rPr>
      </w:pPr>
    </w:p>
    <w:p>
      <w:pPr>
        <w:pStyle w:val="7"/>
        <w:overflowPunct w:val="0"/>
        <w:adjustRightInd w:val="0"/>
        <w:snapToGrid w:val="0"/>
        <w:spacing w:line="560" w:lineRule="exact"/>
        <w:ind w:firstLine="0" w:firstLineChars="0"/>
        <w:rPr>
          <w:rFonts w:ascii="黑体" w:hAnsi="黑体" w:eastAsia="黑体" w:cs="仿宋"/>
          <w:b/>
          <w:bCs/>
          <w:sz w:val="32"/>
          <w:szCs w:val="32"/>
        </w:rPr>
      </w:pPr>
      <w:r>
        <w:rPr>
          <w:rFonts w:hint="eastAsia" w:ascii="黑体" w:hAnsi="黑体" w:eastAsia="黑体" w:cs="仿宋"/>
          <w:b/>
          <w:bCs/>
          <w:sz w:val="32"/>
          <w:szCs w:val="32"/>
        </w:rPr>
        <w:t>三、目标任务</w:t>
      </w:r>
    </w:p>
    <w:p>
      <w:pPr>
        <w:pStyle w:val="7"/>
        <w:overflowPunct w:val="0"/>
        <w:adjustRightInd w:val="0"/>
        <w:snapToGrid w:val="0"/>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以马克思列宁主义、毛泽东思想、邓小平理论、“三个代表”重要思想、科学发展观、习近平新时代中国特色社会主义思想为指导，深入学习贯彻党的十九大和十九届二中、三中、四中、五中全会精神，深入学习贯彻习近平总书记关于党史学习教育重要论述特别是在党史学习教育动员大会上的重要讲话精神，紧密结合习近平总书记考察上海重要讲话和在浦东开发开放30周年庆祝大会上的重要讲话精神，全面贯彻落实学校党委和团市委关于党史学习教育各项部署要求，紧紧围绕学懂弄通做实党的创新理论，坚持学习党史与学习新中国史、改革开放史、社会主义发展史相贯通，学史明理、学史增信、学史崇德、学史力行，紧密结合共青团工作和团员青年实际，坚持团员自学和支部组织学习相结合，坚持理论学习和实践教育相结合，教育引导广大团员青年了解党的光辉历史、感悟党的初心使命、领会党的创新理论、体认党的精神谱系、传承党的红色基因，更加自觉地以习近平新时代中国特色社会主义思想武装头脑，进一步增强“四个意识”、坚定“四个自信”、做到“两个维护”，坚定不移跟党走中国特色社会主义道路，为全面建设社会主义现代化国家、实现中华民族伟大复兴中国梦贡献青春力量。</w:t>
      </w:r>
    </w:p>
    <w:p>
      <w:pPr>
        <w:pStyle w:val="7"/>
        <w:overflowPunct w:val="0"/>
        <w:adjustRightInd w:val="0"/>
        <w:snapToGrid w:val="0"/>
        <w:spacing w:line="560" w:lineRule="exact"/>
        <w:ind w:firstLine="640"/>
        <w:rPr>
          <w:rFonts w:ascii="黑体" w:hAnsi="黑体" w:eastAsia="黑体" w:cs="仿宋"/>
          <w:sz w:val="32"/>
          <w:szCs w:val="32"/>
        </w:rPr>
      </w:pPr>
    </w:p>
    <w:p>
      <w:pPr>
        <w:pStyle w:val="7"/>
        <w:overflowPunct w:val="0"/>
        <w:adjustRightInd w:val="0"/>
        <w:snapToGrid w:val="0"/>
        <w:spacing w:line="560" w:lineRule="exact"/>
        <w:ind w:firstLine="0" w:firstLineChars="0"/>
        <w:rPr>
          <w:rFonts w:ascii="黑体" w:hAnsi="黑体" w:eastAsia="黑体" w:cs="仿宋"/>
          <w:b/>
          <w:bCs/>
          <w:sz w:val="32"/>
          <w:szCs w:val="32"/>
        </w:rPr>
      </w:pPr>
      <w:r>
        <w:rPr>
          <w:rFonts w:hint="eastAsia" w:ascii="黑体" w:hAnsi="黑体" w:eastAsia="黑体" w:cs="仿宋"/>
          <w:b/>
          <w:bCs/>
          <w:sz w:val="32"/>
          <w:szCs w:val="32"/>
        </w:rPr>
        <w:t>四、主要安排</w:t>
      </w:r>
    </w:p>
    <w:p>
      <w:pPr>
        <w:spacing w:line="560" w:lineRule="exact"/>
        <w:ind w:firstLine="643" w:firstLineChars="200"/>
        <w:rPr>
          <w:rFonts w:eastAsia="楷体"/>
          <w:b/>
          <w:bCs/>
          <w:color w:val="000000"/>
          <w:sz w:val="32"/>
          <w:szCs w:val="32"/>
        </w:rPr>
      </w:pPr>
      <w:r>
        <w:rPr>
          <w:rFonts w:eastAsia="楷体"/>
          <w:b/>
          <w:bCs/>
          <w:color w:val="000000"/>
          <w:sz w:val="32"/>
          <w:szCs w:val="32"/>
        </w:rPr>
        <w:t>（一）学习教育</w:t>
      </w:r>
    </w:p>
    <w:p>
      <w:pPr>
        <w:spacing w:line="560" w:lineRule="exact"/>
        <w:ind w:firstLine="643" w:firstLineChars="200"/>
        <w:rPr>
          <w:rFonts w:eastAsia="仿宋_GB2312"/>
          <w:color w:val="000000"/>
          <w:sz w:val="32"/>
          <w:szCs w:val="32"/>
        </w:rPr>
      </w:pPr>
      <w:r>
        <w:rPr>
          <w:rFonts w:eastAsia="仿宋_GB2312"/>
          <w:b/>
          <w:bCs/>
          <w:color w:val="000000"/>
          <w:sz w:val="32"/>
          <w:szCs w:val="32"/>
        </w:rPr>
        <w:t>1.开展个人自学。</w:t>
      </w:r>
      <w:r>
        <w:rPr>
          <w:rFonts w:eastAsia="仿宋_GB2312"/>
          <w:color w:val="000000"/>
          <w:sz w:val="32"/>
          <w:szCs w:val="32"/>
        </w:rPr>
        <w:t>广泛开展</w:t>
      </w:r>
      <w:r>
        <w:rPr>
          <w:rFonts w:hint="eastAsia" w:eastAsia="仿宋_GB2312"/>
          <w:color w:val="000000"/>
          <w:sz w:val="32"/>
          <w:szCs w:val="32"/>
        </w:rPr>
        <w:t>“</w:t>
      </w:r>
      <w:r>
        <w:rPr>
          <w:rFonts w:eastAsia="仿宋_GB2312"/>
          <w:color w:val="000000"/>
          <w:sz w:val="32"/>
          <w:szCs w:val="32"/>
        </w:rPr>
        <w:t>青春对话信仰</w:t>
      </w:r>
      <w:r>
        <w:rPr>
          <w:rFonts w:hint="eastAsia" w:eastAsia="仿宋_GB2312"/>
          <w:color w:val="000000"/>
          <w:sz w:val="32"/>
          <w:szCs w:val="32"/>
        </w:rPr>
        <w:t>”</w:t>
      </w:r>
      <w:r>
        <w:rPr>
          <w:rFonts w:eastAsia="仿宋_GB2312"/>
          <w:color w:val="000000"/>
          <w:sz w:val="32"/>
          <w:szCs w:val="32"/>
        </w:rPr>
        <w:t>学思百年系列主题活动，通过</w:t>
      </w:r>
      <w:r>
        <w:rPr>
          <w:rFonts w:hint="eastAsia" w:eastAsia="仿宋_GB2312"/>
          <w:color w:val="000000"/>
          <w:sz w:val="32"/>
          <w:szCs w:val="32"/>
        </w:rPr>
        <w:t>“</w:t>
      </w:r>
      <w:r>
        <w:rPr>
          <w:rFonts w:eastAsia="仿宋_GB2312"/>
          <w:color w:val="000000"/>
          <w:sz w:val="32"/>
          <w:szCs w:val="32"/>
        </w:rPr>
        <w:t>青春</w:t>
      </w:r>
      <w:r>
        <w:rPr>
          <w:rFonts w:hint="eastAsia" w:eastAsia="仿宋_GB2312"/>
          <w:color w:val="000000"/>
          <w:sz w:val="32"/>
          <w:szCs w:val="32"/>
        </w:rPr>
        <w:t>·</w:t>
      </w:r>
      <w:r>
        <w:rPr>
          <w:rFonts w:eastAsia="仿宋_GB2312"/>
          <w:color w:val="000000"/>
          <w:sz w:val="32"/>
          <w:szCs w:val="32"/>
        </w:rPr>
        <w:t>领学</w:t>
      </w:r>
      <w:r>
        <w:rPr>
          <w:rFonts w:hint="eastAsia" w:eastAsia="仿宋_GB2312"/>
          <w:color w:val="000000"/>
          <w:sz w:val="32"/>
          <w:szCs w:val="32"/>
        </w:rPr>
        <w:t>”“</w:t>
      </w:r>
      <w:r>
        <w:rPr>
          <w:rFonts w:eastAsia="仿宋_GB2312"/>
          <w:color w:val="000000"/>
          <w:sz w:val="32"/>
          <w:szCs w:val="32"/>
        </w:rPr>
        <w:t>青春</w:t>
      </w:r>
      <w:r>
        <w:rPr>
          <w:rFonts w:hint="eastAsia" w:eastAsia="仿宋_GB2312"/>
          <w:color w:val="000000"/>
          <w:sz w:val="32"/>
          <w:szCs w:val="32"/>
        </w:rPr>
        <w:t>·</w:t>
      </w:r>
      <w:r>
        <w:rPr>
          <w:rFonts w:eastAsia="仿宋_GB2312"/>
          <w:color w:val="000000"/>
          <w:sz w:val="32"/>
          <w:szCs w:val="32"/>
        </w:rPr>
        <w:t>悦读</w:t>
      </w:r>
      <w:r>
        <w:rPr>
          <w:rFonts w:hint="eastAsia" w:eastAsia="仿宋_GB2312"/>
          <w:color w:val="000000"/>
          <w:sz w:val="32"/>
          <w:szCs w:val="32"/>
        </w:rPr>
        <w:t>”“</w:t>
      </w:r>
      <w:r>
        <w:rPr>
          <w:rFonts w:eastAsia="仿宋_GB2312"/>
          <w:color w:val="000000"/>
          <w:sz w:val="32"/>
          <w:szCs w:val="32"/>
        </w:rPr>
        <w:t>青春</w:t>
      </w:r>
      <w:r>
        <w:rPr>
          <w:rFonts w:hint="eastAsia" w:eastAsia="仿宋_GB2312"/>
          <w:color w:val="000000"/>
          <w:sz w:val="32"/>
          <w:szCs w:val="32"/>
        </w:rPr>
        <w:t>·</w:t>
      </w:r>
      <w:r>
        <w:rPr>
          <w:rFonts w:eastAsia="仿宋_GB2312"/>
          <w:color w:val="000000"/>
          <w:sz w:val="32"/>
          <w:szCs w:val="32"/>
        </w:rPr>
        <w:t>颂歌</w:t>
      </w:r>
      <w:r>
        <w:rPr>
          <w:rFonts w:hint="eastAsia" w:eastAsia="仿宋_GB2312"/>
          <w:color w:val="000000"/>
          <w:sz w:val="32"/>
          <w:szCs w:val="32"/>
        </w:rPr>
        <w:t>”</w:t>
      </w:r>
      <w:r>
        <w:rPr>
          <w:rFonts w:eastAsia="仿宋_GB2312"/>
          <w:color w:val="000000"/>
          <w:sz w:val="32"/>
          <w:szCs w:val="32"/>
        </w:rPr>
        <w:t>等方式组织学生认真研读《中国共产党简史》《新中国极简史》。积极参加</w:t>
      </w:r>
      <w:r>
        <w:rPr>
          <w:rFonts w:hint="eastAsia" w:eastAsia="仿宋_GB2312"/>
          <w:color w:val="000000"/>
          <w:sz w:val="32"/>
          <w:szCs w:val="32"/>
        </w:rPr>
        <w:t>“</w:t>
      </w:r>
      <w:r>
        <w:rPr>
          <w:rFonts w:eastAsia="仿宋_GB2312"/>
          <w:color w:val="000000"/>
          <w:sz w:val="32"/>
          <w:szCs w:val="32"/>
        </w:rPr>
        <w:t>青年大学习</w:t>
      </w:r>
      <w:r>
        <w:rPr>
          <w:rFonts w:hint="eastAsia" w:eastAsia="仿宋_GB2312"/>
          <w:color w:val="000000"/>
          <w:sz w:val="32"/>
          <w:szCs w:val="32"/>
        </w:rPr>
        <w:t>·</w:t>
      </w:r>
      <w:r>
        <w:rPr>
          <w:rFonts w:eastAsia="仿宋_GB2312"/>
          <w:color w:val="000000"/>
          <w:sz w:val="32"/>
          <w:szCs w:val="32"/>
        </w:rPr>
        <w:t>一起学党史</w:t>
      </w:r>
      <w:r>
        <w:rPr>
          <w:rFonts w:hint="eastAsia" w:eastAsia="仿宋_GB2312"/>
          <w:color w:val="000000"/>
          <w:sz w:val="32"/>
          <w:szCs w:val="32"/>
        </w:rPr>
        <w:t>”</w:t>
      </w:r>
      <w:r>
        <w:rPr>
          <w:rFonts w:eastAsia="仿宋_GB2312"/>
          <w:color w:val="000000"/>
          <w:sz w:val="32"/>
          <w:szCs w:val="32"/>
        </w:rPr>
        <w:t>系列网上主题团课，观看《1921》《望道》《功勋》《觉醒年代》等优秀党史主题影视作品，把个人自学贯穿始终。全体党员团干部要积极参加全党党史学习教育，模范完成各项学习任务，为团员青年作出表率。</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rPr>
        <w:t>2.组织专题学习。</w:t>
      </w:r>
      <w:r>
        <w:rPr>
          <w:rFonts w:hint="eastAsia" w:eastAsia="仿宋_GB2312"/>
          <w:color w:val="000000"/>
          <w:sz w:val="32"/>
          <w:szCs w:val="32"/>
        </w:rPr>
        <w:t>团支部要落实“三会两制一课”制度，结合实际开展主题突出、特色鲜明、形式多样的学习活动。要以支部大会为主要形式，围绕新民主主义革命、社会主义革命和建设、改革开放、中国特色社会主义新时代等专题，开展不少于4次党史学习会，发挥好组织化学习优势。各级团组织要指导好学生会组织及社团，发动所联系的青年开展党史学习。</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rPr>
        <w:t>3.开展专题宣讲。</w:t>
      </w:r>
      <w:r>
        <w:rPr>
          <w:rFonts w:hint="eastAsia" w:eastAsia="仿宋_GB2312"/>
          <w:color w:val="000000"/>
          <w:sz w:val="32"/>
          <w:szCs w:val="32"/>
        </w:rPr>
        <w:t>“五四”前后，团委干部、学院团委（直属团支部）书记，要在深入自学基础上面向基层团员青年至少讲1次党史主题团课、参加2次团支部学习交流活动。依托“学党史、强信念、跟党走”主题演讲及征文比赛、“百年百人·我是党史领读人”领读活动、“院院学、班班讲”活动等，面向团员青年常态化开展党史宣讲，分层分类讲好党的故事，引导他们听党话、跟党走。</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rPr>
        <w:t>4.纳入专题培训。</w:t>
      </w:r>
      <w:r>
        <w:rPr>
          <w:rFonts w:hint="eastAsia" w:eastAsia="仿宋_GB2312"/>
          <w:color w:val="000000"/>
          <w:sz w:val="32"/>
          <w:szCs w:val="32"/>
        </w:rPr>
        <w:t>在各级团学骨干教育培训中加大党史学习内容比例，把党史学习教育融入包括“青马工程”培训班、新生干部培训班、学生骨干培训班、社团社长培训班、创新训练营在内的“火种计划”团校体系、进博会等大型赛会志愿者培训中。将习近平《论中国共产党历史》《毛泽东、邓小平、江泽民、胡锦涛关于中国共产党历史论述摘编》《习近平新时代中国特色社会主义思想学习问答》《中国共产党简史》等作为重要培训教材。</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rPr>
        <w:t>5.参与网上互动学习。</w:t>
      </w:r>
      <w:r>
        <w:rPr>
          <w:rFonts w:hint="eastAsia" w:eastAsia="仿宋_GB2312"/>
          <w:color w:val="000000"/>
          <w:sz w:val="32"/>
          <w:szCs w:val="32"/>
        </w:rPr>
        <w:t>依托“青春SUIBE”“上海对外经贸大学学生会”微信公众平台推出“90后、00后学党史”“红色百宝箱”等内容的党史学习教育专栏。各学院团委（直属团支部）通过开展党史学习线上“大接龙”活动，形成比学赶超的良好学习氛围。各级团组织要动员广大团员青年积极参与党史学习网上打卡、交流互动、答题对战等活动，深化对党史内容的了解掌握。</w:t>
      </w:r>
    </w:p>
    <w:p>
      <w:pPr>
        <w:spacing w:line="560" w:lineRule="exact"/>
        <w:ind w:firstLine="643" w:firstLineChars="200"/>
        <w:rPr>
          <w:rFonts w:eastAsia="楷体"/>
          <w:b/>
          <w:bCs/>
          <w:color w:val="000000"/>
          <w:sz w:val="32"/>
          <w:szCs w:val="32"/>
        </w:rPr>
      </w:pPr>
      <w:r>
        <w:rPr>
          <w:rFonts w:eastAsia="楷体"/>
          <w:b/>
          <w:bCs/>
          <w:color w:val="000000"/>
          <w:sz w:val="32"/>
          <w:szCs w:val="32"/>
        </w:rPr>
        <w:t>（二）组织生活</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rPr>
        <w:t>1.召开组织生活会。</w:t>
      </w:r>
      <w:r>
        <w:rPr>
          <w:rFonts w:hint="eastAsia" w:eastAsia="仿宋_GB2312"/>
          <w:color w:val="000000"/>
          <w:sz w:val="32"/>
          <w:szCs w:val="32"/>
        </w:rPr>
        <w:t>全体团员以支部为单位，结合团员年度教育评议和团员先进性评价，集中开展1次专题组织生活会，对照习近平总书记对团员青年一以贯之的要求和希望，思考新时代的奋斗方向；对照先进党员事迹，思考担负的职责使命；对照团员先进性评价标准，查找自身不足，明确改进方向。</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rPr>
        <w:t>2.集中开展仪式教育。</w:t>
      </w:r>
      <w:r>
        <w:rPr>
          <w:rFonts w:hint="eastAsia" w:eastAsia="仿宋_GB2312"/>
          <w:color w:val="000000"/>
          <w:sz w:val="32"/>
          <w:szCs w:val="32"/>
        </w:rPr>
        <w:t>“五四”期间，各学院团组织要用好上海丰富的红色资源，组织新发展团员参加入团仪式，组织老团员重温入团誓词；组织好纪念五四运动102周年主题集会暨2020年度共青团表彰大会、纪念“一二·九”运动86周年主题集会、“红歌传唱·歌咏百年”红歌比赛等、邀请英雄模范、优秀党员和青年五四奖章获得者、优秀团干部、优秀团员等分享奋斗故事、交流成长体会、感悟跟党初心，教育引导团员看齐榜样、学习先进、跟党奋斗。</w:t>
      </w:r>
    </w:p>
    <w:p>
      <w:pPr>
        <w:spacing w:line="560" w:lineRule="exact"/>
        <w:ind w:firstLine="643" w:firstLineChars="200"/>
        <w:rPr>
          <w:rFonts w:eastAsia="楷体"/>
          <w:b/>
          <w:bCs/>
          <w:color w:val="000000"/>
          <w:sz w:val="32"/>
          <w:szCs w:val="32"/>
        </w:rPr>
      </w:pPr>
      <w:r>
        <w:rPr>
          <w:rFonts w:eastAsia="楷体"/>
          <w:b/>
          <w:bCs/>
          <w:color w:val="000000"/>
          <w:sz w:val="32"/>
          <w:szCs w:val="32"/>
        </w:rPr>
        <w:t>（三）实践活动</w:t>
      </w:r>
    </w:p>
    <w:p>
      <w:pPr>
        <w:spacing w:line="560" w:lineRule="exact"/>
        <w:ind w:firstLine="643" w:firstLineChars="200"/>
        <w:rPr>
          <w:rFonts w:eastAsia="仿宋_GB2312"/>
          <w:color w:val="000000"/>
          <w:sz w:val="32"/>
          <w:szCs w:val="32"/>
        </w:rPr>
      </w:pPr>
      <w:r>
        <w:rPr>
          <w:rFonts w:eastAsia="仿宋_GB2312"/>
          <w:b/>
          <w:bCs/>
          <w:color w:val="000000"/>
          <w:sz w:val="32"/>
          <w:szCs w:val="32"/>
        </w:rPr>
        <w:t>1.开展</w:t>
      </w:r>
      <w:r>
        <w:rPr>
          <w:rFonts w:hint="eastAsia" w:eastAsia="仿宋_GB2312"/>
          <w:b/>
          <w:bCs/>
          <w:color w:val="000000"/>
          <w:sz w:val="32"/>
          <w:szCs w:val="32"/>
        </w:rPr>
        <w:t>“</w:t>
      </w:r>
      <w:r>
        <w:rPr>
          <w:rFonts w:eastAsia="仿宋_GB2312"/>
          <w:b/>
          <w:bCs/>
          <w:color w:val="000000"/>
          <w:sz w:val="32"/>
          <w:szCs w:val="32"/>
        </w:rPr>
        <w:t>我为青年做件事</w:t>
      </w:r>
      <w:r>
        <w:rPr>
          <w:rFonts w:hint="eastAsia" w:eastAsia="仿宋_GB2312"/>
          <w:b/>
          <w:bCs/>
          <w:color w:val="000000"/>
          <w:sz w:val="32"/>
          <w:szCs w:val="32"/>
        </w:rPr>
        <w:t>”</w:t>
      </w:r>
      <w:r>
        <w:rPr>
          <w:rFonts w:eastAsia="仿宋_GB2312"/>
          <w:b/>
          <w:bCs/>
          <w:color w:val="000000"/>
          <w:sz w:val="32"/>
          <w:szCs w:val="32"/>
        </w:rPr>
        <w:t>主题实践活动。</w:t>
      </w:r>
      <w:r>
        <w:rPr>
          <w:rFonts w:hint="eastAsia" w:eastAsia="仿宋_GB2312"/>
          <w:color w:val="000000"/>
          <w:sz w:val="32"/>
          <w:szCs w:val="32"/>
        </w:rPr>
        <w:t>组织团委干部、学院团委（直属团支部）书记结合实际、立足本职，开展服务青年主题实践活动，多为青年解决困难事、烦心事。开展大学生就业精准帮扶。做好“大手牵小手”“爱心暑托班”“青春进社区”等志愿服务项目。</w:t>
      </w:r>
    </w:p>
    <w:p>
      <w:pPr>
        <w:spacing w:line="560" w:lineRule="exact"/>
        <w:ind w:firstLine="643" w:firstLineChars="200"/>
        <w:rPr>
          <w:rFonts w:eastAsia="仿宋_GB2312"/>
          <w:color w:val="000000"/>
          <w:sz w:val="32"/>
          <w:szCs w:val="32"/>
        </w:rPr>
      </w:pPr>
      <w:r>
        <w:rPr>
          <w:rFonts w:eastAsia="仿宋_GB2312"/>
          <w:b/>
          <w:bCs/>
          <w:color w:val="000000"/>
          <w:sz w:val="32"/>
          <w:szCs w:val="32"/>
        </w:rPr>
        <w:t>2.开展系列实践教育活动。</w:t>
      </w:r>
      <w:r>
        <w:rPr>
          <w:rFonts w:hint="eastAsia" w:eastAsia="仿宋_GB2312"/>
          <w:color w:val="000000"/>
          <w:sz w:val="32"/>
          <w:szCs w:val="32"/>
        </w:rPr>
        <w:t>围绕庆祝中国共产党成立100周年，抓住重要时间节点，面向全校团支部开展活力团支部、五星级团支部、魅力团支书评选。面向全校团员青年广泛开展“奋斗知行百年”践行初心系列主题活动、“不忘初心·紧跟党走”大学生暑期社会实践活动等，通过“红色·地标打卡”“红色·故事寻访”“红色·文创设计”等活动教育团员青年铭记党的关怀、了解发展成就、增强奋斗意识。在“五四”期间、七月上旬、国庆前后，组织开展主题活动，通过讲述党的故事、缅怀革命先烈、寻访红色地标、寻访英雄模范等方式提升学习成效。</w:t>
      </w:r>
    </w:p>
    <w:p>
      <w:pPr>
        <w:spacing w:line="560" w:lineRule="exact"/>
        <w:ind w:firstLine="643" w:firstLineChars="200"/>
        <w:rPr>
          <w:rFonts w:eastAsia="仿宋_GB2312"/>
          <w:color w:val="000000"/>
          <w:sz w:val="32"/>
          <w:szCs w:val="32"/>
        </w:rPr>
      </w:pPr>
      <w:r>
        <w:rPr>
          <w:rFonts w:hint="eastAsia" w:eastAsia="仿宋_GB2312"/>
          <w:b/>
          <w:bCs/>
          <w:color w:val="000000"/>
          <w:sz w:val="32"/>
          <w:szCs w:val="32"/>
        </w:rPr>
        <w:t>3.开展青春建功“十四五”行动。</w:t>
      </w:r>
      <w:r>
        <w:rPr>
          <w:rFonts w:hint="eastAsia" w:eastAsia="仿宋_GB2312"/>
          <w:color w:val="000000"/>
          <w:sz w:val="32"/>
          <w:szCs w:val="32"/>
        </w:rPr>
        <w:t>坚持围绕中心服务大局，凝聚青年力量。组织动员广大团员青年在创新创业、志愿服务、社会实践中展现担当作为。引导团员青年利用课余时间和寒暑假到城乡社区报到返家乡到社区(村)报到，积极参与“三支一扶”“大学生志愿服务西部计划”等项目，树立投身基层建功立业的价值导向。</w:t>
      </w:r>
    </w:p>
    <w:p>
      <w:pPr>
        <w:spacing w:line="560" w:lineRule="exact"/>
        <w:ind w:firstLine="640" w:firstLineChars="200"/>
        <w:rPr>
          <w:rFonts w:eastAsia="仿宋_GB2312"/>
          <w:color w:val="000000"/>
          <w:sz w:val="32"/>
          <w:szCs w:val="32"/>
        </w:rPr>
      </w:pPr>
    </w:p>
    <w:p>
      <w:pPr>
        <w:pStyle w:val="7"/>
        <w:overflowPunct w:val="0"/>
        <w:adjustRightInd w:val="0"/>
        <w:snapToGrid w:val="0"/>
        <w:spacing w:line="560" w:lineRule="exact"/>
        <w:ind w:firstLine="0" w:firstLineChars="0"/>
        <w:rPr>
          <w:rFonts w:ascii="黑体" w:hAnsi="黑体" w:eastAsia="黑体" w:cs="仿宋"/>
          <w:b/>
          <w:bCs/>
          <w:sz w:val="32"/>
          <w:szCs w:val="32"/>
        </w:rPr>
      </w:pPr>
      <w:r>
        <w:rPr>
          <w:rFonts w:ascii="黑体" w:hAnsi="黑体" w:eastAsia="黑体" w:cs="仿宋"/>
          <w:b/>
          <w:bCs/>
          <w:sz w:val="32"/>
          <w:szCs w:val="32"/>
        </w:rPr>
        <w:t>五、工作要求</w:t>
      </w:r>
    </w:p>
    <w:p>
      <w:pPr>
        <w:spacing w:line="560" w:lineRule="exact"/>
        <w:ind w:firstLine="643" w:firstLineChars="200"/>
        <w:rPr>
          <w:rFonts w:ascii="仿宋_GB2312" w:eastAsia="仿宋_GB2312"/>
          <w:color w:val="000000"/>
          <w:sz w:val="32"/>
          <w:szCs w:val="32"/>
        </w:rPr>
      </w:pPr>
      <w:r>
        <w:rPr>
          <w:rFonts w:hint="eastAsia" w:eastAsia="仿宋_GB2312"/>
          <w:b/>
          <w:bCs/>
          <w:color w:val="000000"/>
          <w:sz w:val="32"/>
          <w:szCs w:val="32"/>
        </w:rPr>
        <w:t>（一）坚持正确导向。</w:t>
      </w:r>
      <w:r>
        <w:rPr>
          <w:rFonts w:hint="eastAsia" w:ascii="仿宋_GB2312" w:hAnsi="楷体" w:eastAsia="仿宋_GB2312"/>
          <w:bCs/>
          <w:color w:val="000000"/>
          <w:sz w:val="32"/>
          <w:szCs w:val="32"/>
        </w:rPr>
        <w:t>坚持马克思主义历史观，牢牢把握党的历史发展的主题和主线、主流和本质，严格以中央精神、权威口径为依据，突出成就教育，突出知史励今，旗帜鲜明反对历史虚无主义，坚决抵制歪曲和丑化党的历史的错误倾向。</w:t>
      </w:r>
    </w:p>
    <w:p>
      <w:pPr>
        <w:spacing w:line="560" w:lineRule="exact"/>
        <w:ind w:firstLine="643" w:firstLineChars="200"/>
        <w:rPr>
          <w:rFonts w:ascii="仿宋_GB2312" w:hAnsi="楷体" w:eastAsia="仿宋_GB2312"/>
          <w:b/>
          <w:bCs/>
          <w:color w:val="000000"/>
          <w:sz w:val="32"/>
          <w:szCs w:val="32"/>
        </w:rPr>
      </w:pPr>
      <w:r>
        <w:rPr>
          <w:rFonts w:hint="eastAsia" w:ascii="仿宋_GB2312" w:hAnsi="楷体" w:eastAsia="仿宋_GB2312"/>
          <w:b/>
          <w:bCs/>
          <w:color w:val="000000"/>
          <w:sz w:val="32"/>
          <w:szCs w:val="32"/>
        </w:rPr>
        <w:t>（二）加强组织领导。</w:t>
      </w:r>
      <w:r>
        <w:rPr>
          <w:rFonts w:hint="eastAsia" w:ascii="仿宋_GB2312" w:hAnsi="楷体" w:eastAsia="仿宋_GB2312"/>
          <w:bCs/>
          <w:color w:val="000000"/>
          <w:sz w:val="32"/>
          <w:szCs w:val="32"/>
        </w:rPr>
        <w:t>加强面向团员青年的学习教育的统一领导，做好组织动员、过程督导和支持保障，把好方向、解决问题，注重实效。团支部要组织全体团员认真参加学习教育，避免流于形式。校团委将通过“青年大学习”后台数据、“智慧团建”线上监测、随机抽查和实地指导等方式，对全校团组织开展学习教育的情况进行督导。</w:t>
      </w:r>
    </w:p>
    <w:p>
      <w:pPr>
        <w:spacing w:line="560" w:lineRule="exact"/>
        <w:ind w:firstLine="643" w:firstLineChars="200"/>
        <w:rPr>
          <w:rFonts w:ascii="仿宋_GB2312" w:eastAsia="仿宋_GB2312"/>
          <w:color w:val="000000"/>
          <w:sz w:val="32"/>
          <w:szCs w:val="32"/>
        </w:rPr>
      </w:pPr>
      <w:r>
        <w:rPr>
          <w:rFonts w:hint="eastAsia" w:ascii="仿宋_GB2312" w:hAnsi="楷体" w:eastAsia="仿宋_GB2312"/>
          <w:b/>
          <w:bCs/>
          <w:color w:val="000000"/>
          <w:sz w:val="32"/>
          <w:szCs w:val="32"/>
        </w:rPr>
        <w:t>（三）突出上海特色。</w:t>
      </w:r>
      <w:r>
        <w:rPr>
          <w:rFonts w:hint="eastAsia" w:ascii="仿宋_GB2312" w:hAnsi="楷体" w:eastAsia="仿宋_GB2312"/>
          <w:bCs/>
          <w:color w:val="000000"/>
          <w:sz w:val="32"/>
          <w:szCs w:val="32"/>
        </w:rPr>
        <w:t>上海是党的诞生地和初心始发地，也是社会主义建设重要基地、改革开放前沿阵地，要切实把红色文化资源转化为宣传教育资源，让团员青年切身感受百年艰辛历程、巨大变化、辉煌成就，传承发扬红色基因。要运用并巩固拓展“四史”学习教育成果，引领广大团员青年自觉践行社会主义核心价值观，大力弘扬时代精神、上海城市精神和城市品格，激发干事创业的激情勇气。</w:t>
      </w:r>
    </w:p>
    <w:p>
      <w:pPr>
        <w:spacing w:line="560" w:lineRule="exact"/>
        <w:ind w:firstLine="643" w:firstLineChars="200"/>
        <w:rPr>
          <w:rFonts w:ascii="仿宋_GB2312" w:hAnsi="仿宋" w:eastAsia="仿宋_GB2312" w:cs="仿宋"/>
          <w:color w:val="000000"/>
          <w:sz w:val="32"/>
          <w:szCs w:val="32"/>
        </w:rPr>
      </w:pPr>
      <w:r>
        <w:rPr>
          <w:rFonts w:hint="eastAsia" w:ascii="仿宋_GB2312" w:hAnsi="楷体" w:eastAsia="仿宋_GB2312"/>
          <w:b/>
          <w:bCs/>
          <w:color w:val="000000"/>
          <w:sz w:val="32"/>
          <w:szCs w:val="32"/>
        </w:rPr>
        <w:t>（四）做好宣传报道。</w:t>
      </w:r>
      <w:r>
        <w:rPr>
          <w:rFonts w:hint="eastAsia" w:eastAsia="仿宋_GB2312"/>
          <w:color w:val="000000"/>
          <w:sz w:val="32"/>
          <w:szCs w:val="32"/>
        </w:rPr>
        <w:t>要将党史学习教育作为统领全年共青团宣传工作的主题，充分利用各级团委、团支部媒体，认真做好宣传工作，充分展示学习教育让红色基因、革命薪火代代传承的重大意义，充分展示广大团员青年学习党史、坚定信念、紧跟党走的学习成效，及时报道本单位团组织开展学习教育的好经验好做法、团员青年的收获体会，营造浓厚氛围。</w:t>
      </w:r>
    </w:p>
    <w:p>
      <w:pPr>
        <w:spacing w:line="560" w:lineRule="exact"/>
        <w:rPr>
          <w:rFonts w:ascii="仿宋_GB2312" w:hAnsi="仿宋" w:eastAsia="仿宋_GB2312" w:cs="仿宋"/>
          <w:color w:val="000000"/>
          <w:sz w:val="32"/>
          <w:szCs w:val="32"/>
        </w:rPr>
      </w:pPr>
    </w:p>
    <w:p>
      <w:pPr>
        <w:spacing w:line="560" w:lineRule="exact"/>
        <w:ind w:firstLine="640" w:firstLineChars="200"/>
        <w:jc w:val="right"/>
        <w:rPr>
          <w:rFonts w:ascii="仿宋_GB2312" w:hAnsi="仿宋" w:eastAsia="仿宋_GB2312" w:cs="仿宋"/>
          <w:color w:val="000000"/>
          <w:sz w:val="32"/>
          <w:szCs w:val="32"/>
        </w:rPr>
      </w:pPr>
    </w:p>
    <w:p>
      <w:pPr>
        <w:spacing w:line="560" w:lineRule="exact"/>
        <w:ind w:firstLine="640" w:firstLineChars="200"/>
        <w:jc w:val="right"/>
        <w:rPr>
          <w:rFonts w:ascii="仿宋_GB2312" w:hAnsi="仿宋" w:eastAsia="仿宋_GB2312" w:cs="仿宋"/>
          <w:color w:val="000000"/>
          <w:sz w:val="32"/>
          <w:szCs w:val="32"/>
        </w:rPr>
      </w:pPr>
    </w:p>
    <w:p>
      <w:pPr>
        <w:spacing w:line="560" w:lineRule="exact"/>
        <w:ind w:firstLine="640" w:firstLineChars="200"/>
        <w:jc w:val="right"/>
        <w:rPr>
          <w:rFonts w:ascii="仿宋_GB2312" w:hAnsi="仿宋" w:eastAsia="仿宋_GB2312" w:cs="仿宋"/>
          <w:color w:val="000000"/>
          <w:sz w:val="32"/>
          <w:szCs w:val="32"/>
        </w:rPr>
      </w:pPr>
      <w:r>
        <w:rPr>
          <w:rFonts w:hint="eastAsia" w:ascii="仿宋_GB2312" w:hAnsi="仿宋" w:eastAsia="仿宋_GB2312" w:cs="仿宋"/>
          <w:color w:val="000000"/>
          <w:sz w:val="32"/>
          <w:szCs w:val="32"/>
        </w:rPr>
        <w:t>共青团上海对外经贸大学委员会</w:t>
      </w:r>
    </w:p>
    <w:p>
      <w:pPr>
        <w:spacing w:line="560" w:lineRule="exact"/>
        <w:ind w:right="960" w:firstLine="640" w:firstLineChars="200"/>
        <w:jc w:val="right"/>
        <w:rPr>
          <w:rFonts w:ascii="仿宋_GB2312" w:hAnsi="仿宋" w:eastAsia="仿宋_GB2312" w:cs="仿宋"/>
          <w:color w:val="000000"/>
          <w:sz w:val="32"/>
          <w:szCs w:val="32"/>
        </w:rPr>
      </w:pPr>
      <w:r>
        <w:rPr>
          <w:rFonts w:hint="eastAsia" w:eastAsia="仿宋_GB2312"/>
          <w:color w:val="000000"/>
          <w:sz w:val="32"/>
          <w:szCs w:val="32"/>
        </w:rPr>
        <w:t>2021</w:t>
      </w:r>
      <w:r>
        <w:rPr>
          <w:rFonts w:hint="eastAsia" w:ascii="仿宋_GB2312" w:hAnsi="仿宋" w:eastAsia="仿宋_GB2312" w:cs="仿宋"/>
          <w:color w:val="000000"/>
          <w:sz w:val="32"/>
          <w:szCs w:val="32"/>
        </w:rPr>
        <w:t>年</w:t>
      </w:r>
      <w:r>
        <w:rPr>
          <w:rFonts w:eastAsia="仿宋_GB2312"/>
          <w:color w:val="000000"/>
          <w:sz w:val="32"/>
          <w:szCs w:val="32"/>
        </w:rPr>
        <w:t>4</w:t>
      </w:r>
      <w:r>
        <w:rPr>
          <w:rFonts w:hint="eastAsia" w:ascii="仿宋_GB2312" w:hAnsi="仿宋" w:eastAsia="仿宋_GB2312" w:cs="仿宋"/>
          <w:color w:val="000000"/>
          <w:sz w:val="32"/>
          <w:szCs w:val="32"/>
        </w:rPr>
        <w:t>月</w:t>
      </w:r>
      <w:r>
        <w:rPr>
          <w:rFonts w:eastAsia="仿宋_GB2312"/>
          <w:color w:val="000000"/>
          <w:sz w:val="32"/>
          <w:szCs w:val="32"/>
        </w:rPr>
        <w:t>19</w:t>
      </w:r>
      <w:r>
        <w:rPr>
          <w:rFonts w:hint="eastAsia" w:ascii="仿宋_GB2312" w:hAnsi="仿宋" w:eastAsia="仿宋_GB2312" w:cs="仿宋"/>
          <w:color w:val="000000"/>
          <w:sz w:val="32"/>
          <w:szCs w:val="32"/>
        </w:rPr>
        <w:t>日</w:t>
      </w:r>
    </w:p>
    <w:sectPr>
      <w:footerReference r:id="rId3" w:type="default"/>
      <w:pgSz w:w="11906" w:h="16838"/>
      <w:pgMar w:top="2041" w:right="1531" w:bottom="2098" w:left="1701" w:header="1134"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B7"/>
    <w:rsid w:val="00056212"/>
    <w:rsid w:val="00072F2F"/>
    <w:rsid w:val="00097296"/>
    <w:rsid w:val="00101EF4"/>
    <w:rsid w:val="00173F4A"/>
    <w:rsid w:val="002B55A3"/>
    <w:rsid w:val="002F20A5"/>
    <w:rsid w:val="00316D4C"/>
    <w:rsid w:val="00334C58"/>
    <w:rsid w:val="00340FD7"/>
    <w:rsid w:val="00397A54"/>
    <w:rsid w:val="00522C1D"/>
    <w:rsid w:val="00565E69"/>
    <w:rsid w:val="0057217B"/>
    <w:rsid w:val="00591CF3"/>
    <w:rsid w:val="005D507B"/>
    <w:rsid w:val="00625BB7"/>
    <w:rsid w:val="0063630E"/>
    <w:rsid w:val="00784D07"/>
    <w:rsid w:val="007B5879"/>
    <w:rsid w:val="00884C4B"/>
    <w:rsid w:val="009A685D"/>
    <w:rsid w:val="009C0587"/>
    <w:rsid w:val="009D6840"/>
    <w:rsid w:val="00A75AD7"/>
    <w:rsid w:val="00B079C2"/>
    <w:rsid w:val="00B821DE"/>
    <w:rsid w:val="00BF5D9C"/>
    <w:rsid w:val="00C54AA2"/>
    <w:rsid w:val="00CD5520"/>
    <w:rsid w:val="00D32429"/>
    <w:rsid w:val="00DB1C1B"/>
    <w:rsid w:val="00F449A9"/>
    <w:rsid w:val="2E9C7A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6"/>
    <w:unhideWhenUsed/>
    <w:uiPriority w:val="99"/>
    <w:pPr>
      <w:tabs>
        <w:tab w:val="center" w:pos="4153"/>
        <w:tab w:val="right" w:pos="8306"/>
      </w:tabs>
      <w:snapToGrid w:val="0"/>
      <w:jc w:val="left"/>
    </w:pPr>
    <w:rPr>
      <w:kern w:val="0"/>
      <w:sz w:val="18"/>
      <w:szCs w:val="18"/>
    </w:rPr>
  </w:style>
  <w:style w:type="character" w:customStyle="1" w:styleId="6">
    <w:name w:val="页脚 Char"/>
    <w:basedOn w:val="5"/>
    <w:link w:val="3"/>
    <w:uiPriority w:val="99"/>
    <w:rPr>
      <w:rFonts w:ascii="Times New Roman" w:hAnsi="Times New Roman" w:eastAsia="宋体" w:cs="Times New Roman"/>
      <w:kern w:val="0"/>
      <w:sz w:val="18"/>
      <w:szCs w:val="18"/>
    </w:rPr>
  </w:style>
  <w:style w:type="paragraph" w:styleId="7">
    <w:name w:val="List Paragraph"/>
    <w:basedOn w:val="1"/>
    <w:qFormat/>
    <w:uiPriority w:val="34"/>
    <w:pPr>
      <w:ind w:firstLine="420" w:firstLineChars="200"/>
    </w:pPr>
  </w:style>
  <w:style w:type="character" w:customStyle="1" w:styleId="8">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474</Words>
  <Characters>2707</Characters>
  <Lines>22</Lines>
  <Paragraphs>6</Paragraphs>
  <TotalTime>28</TotalTime>
  <ScaleCrop>false</ScaleCrop>
  <LinksUpToDate>false</LinksUpToDate>
  <CharactersWithSpaces>3175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2021-04-19T03:27:00Z</dcterms:created>
  <dc:creator>张玉杰</dc:creator>
  <cp:lastModifiedBy>我们仨的吴白久</cp:lastModifiedBy>
  <cp:lastPrinted>2021-04-19T04:40:00Z</cp:lastPrinted>
  <dcterms:modified xsi:type="dcterms:W3CDTF">2021-06-08T05:32:58Z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FC88943E2AFA417AB7BCF95D65F31ACC</vt:lpwstr>
  </property>
</Properties>
</file>