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C8" w:rsidRPr="00F915C0" w:rsidRDefault="00C57CC8" w:rsidP="00F915C0">
      <w:pPr>
        <w:jc w:val="center"/>
        <w:rPr>
          <w:rFonts w:asciiTheme="minorEastAsia" w:hAnsiTheme="minorEastAsia"/>
          <w:b/>
          <w:sz w:val="28"/>
          <w:szCs w:val="28"/>
        </w:rPr>
      </w:pPr>
      <w:bookmarkStart w:id="0" w:name="_GoBack"/>
      <w:bookmarkEnd w:id="0"/>
      <w:r w:rsidRPr="00F915C0">
        <w:rPr>
          <w:rFonts w:asciiTheme="minorEastAsia" w:hAnsiTheme="minorEastAsia" w:hint="eastAsia"/>
          <w:b/>
          <w:sz w:val="28"/>
          <w:szCs w:val="28"/>
        </w:rPr>
        <w:t>2020年度上海市人民政府决策咨询研究（教育政策专项）指南</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一、“十四五”时期上海教育改革发展的新形势、新任务和新战略研究</w:t>
      </w:r>
    </w:p>
    <w:p w:rsidR="00C57CC8"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从国际经济、社会、科技、教育发展新形势，国家重大战略新要求，以及上海建设社会主义现代化国际大都市新需求等方面着眼，研究上海教育改革发展面临的新形势和新任务，提出“十四五”期间上海教育改革发展的基本思路和战略举措。</w:t>
      </w:r>
    </w:p>
    <w:p w:rsidR="00F915C0" w:rsidRP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二、上海高等学校学科发展与优化布局规划研究</w:t>
      </w:r>
    </w:p>
    <w:p w:rsid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上海市于2014年研究制定并出台《上海高等学校学科发展与优化布局规划（2014-2020年）》，启动上海高校高峰高原学科建设计划。经过近几年的建设，不断优化上海高校学科布局，提升学科水平，为持续不断的推进学科建设，将启动新一轮上海高校学科发展与优化布局的规划。</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课题重点研究但不限于以下几方面：1.了解掌握国际学科发展动态，了解掌握国家“双一流”建设的要求和建设方案，了解掌握上海高校学科建设推进思路和学科现状;2.对接国家战略和上海区域经济发展新需求，提出面向“十四五”时期，服务国家创新发展战略和上海“五个中心”建设要求，新一轮上海高校学科的布局方法和建议，形成高峰高原学科建设计划的政策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三、本市教育国际组织引进、创建对教育改革发展带来的机遇与挑战</w:t>
      </w:r>
    </w:p>
    <w:p w:rsidR="00C57CC8"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课题重点研究但不限于以下几方面：1.本市近年引进、创建的各类政府间及非政府间教育国际组织的现状及特征；2.目前本市在引进及创建国际组织进程中所面临的困难及现行工作机制对国际组织运作可能产生的制约和限制；3.各类教育国际组织落驻后对中国服务国家外交战略及促进本市教育改革发展带来的机遇及挑战；4.各相关政府部门如何建立有效的协同机制，打破工作壁垒，承担各自的职责，助力本市教育国际组织的引进和创建，同时在国际组织落驻后，如何为国际组织生根发展营造良好环境；5.探讨适时出台相关的法律法规，对国际组织的运营发挥监管的作用。</w:t>
      </w:r>
    </w:p>
    <w:p w:rsidR="00F915C0" w:rsidRPr="00F915C0" w:rsidRDefault="00F915C0" w:rsidP="00F915C0">
      <w:pPr>
        <w:ind w:firstLineChars="200" w:firstLine="480"/>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四、面向国家创新发展的需求,优化上海高校的人才培养体系研究</w:t>
      </w:r>
    </w:p>
    <w:p w:rsid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对标上海承担的三项新的重大任务和“五个中心”建设，上海的人才培养体系显然存在结构性的短板。有鉴于此，有必要通过现有学科专业制度的深化改革，进一步分别强化基础学科、应用学科以及特色学科的同时，有效建立交叉协同融合的学科群和学科体系，提升上海高校的办学特色，增强上海高校对接社会发展需求的能力。</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课题可从以下方面中，择若干项展开研究：1.上海高校人才培养体系的结构性短板;2. 如何提升上海高校基础学科体系的整体优势和学科分类优势，建立国际一流的基础人才培养体系;3. 上海高校应用学科如何适应国家“五位一体”发展和城市高质量发展的长期目标，建立国际一流的应用型人才培养体系;4. 政府及其职能部门如何按分类指导的原则，科学评价高等学校的学科发展及其人才培养绩效，合理配置公共资源；如何引入市场机制整合社会资源，使上海市的学科发展和人才培养能力与国家创新发展的需求高效、动态匹配。</w:t>
      </w: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五、上海高校新工科人才培养体系创新研究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lastRenderedPageBreak/>
        <w:t>【研究要义提示】先进制造业是实体经济的基础和核心，支持先进制造业的学科基础和重点是“新工科”。课题重点研究但不限于以下几方面：1.国际新工科发展的基本现状和重点优势的领域分布；2.对上海高校新工科综合发展能力的科学评估；3.如何把握先进制造业的发展趋势，补足上海和全国高校新工科发展能力短板，提升新工科对集成创新和源头创新的支撑引领配套能力；新工科如何以一流水平面向世界、引领未来、助推现代化；4.如何优化整合学科体系，建设一批适合新工科发展和人才培养体系的学科群，优化配置政府公共政策资源和社会投入等资源，探索新工科的学科特点和发展路径，构建较为系统的新工科创新培养平台。</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六、基于效能考量的高校国有资产配置与管理体制研究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高校国有资产的合理配置与科学管理是高校有效运转的基础和高校履行职能、事业发展的重要保障。当前，高校部分国有资产的配置缺乏相应的标准，资产管理和预算管理的有效结合存在差距，管理信息化水平参差不齐。本课题要求对本市高校国有资产配置与管理行政进行全面梳理；对高校国有资产的使用效能进行调研；深入剖析当前高校国有资产配置与管理的困境与问题；融合国际化、信息化、大数据等视野，提出优化高校国有资产配置与管理的政策建议，促进高校国有资产使用效能的全面提升。</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七、混合所有制职业院校的新治理机制研究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【研究要义提示】2019年底市政府颁布了《上海职业教育高质量发展行动计划（2019-2022年）》，提到要“推动中高职教育一体化发展，建设一批新型</w:t>
      </w:r>
    </w:p>
    <w:p w:rsidR="00C57CC8" w:rsidRPr="00F915C0" w:rsidRDefault="00C57CC8" w:rsidP="00C57CC8">
      <w:pPr>
        <w:rPr>
          <w:rFonts w:asciiTheme="minorEastAsia" w:hAnsiTheme="minorEastAsia"/>
          <w:sz w:val="24"/>
          <w:szCs w:val="24"/>
        </w:rPr>
      </w:pPr>
      <w:r w:rsidRPr="00F915C0">
        <w:rPr>
          <w:rFonts w:asciiTheme="minorEastAsia" w:hAnsiTheme="minorEastAsia" w:hint="eastAsia"/>
          <w:sz w:val="24"/>
          <w:szCs w:val="24"/>
        </w:rPr>
        <w:t>（五年一贯制）职业院校。引导、推动企业积极参与，探索建设股份制、混合所有制新型五年一贯制职业院校，促进校企双元育人”。因此，亟需就即将筹划兴办的混合所有制办学模式的新型五年一贯制职业院校的管理模式、治理机制加强研究，从土地资源、设施设备、到人员编制、经费投入等建设、管理、运行各环节遇到的政策堵点和须要破解的机制瓶颈等进行解析和谋划。</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课题重点研究但不限于以下几方面：1．发达国家和域外省份对混合所有制办学模式的职业院校的治理机制与特点；2．本市统筹谋划混合所有制模式的五年一贯制新型职业院校的主要方向和要求；3．兴办混合所有制模式的五年一贯制新型职业院校需要突破的关键问题和政策瓶颈；4．向相关政府部门提出对混合所有制模式的五年一贯制新型职业院校的新管理思路、新治理机制方面的政策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八、贯通培养的职业人才质量标准研究</w:t>
      </w:r>
    </w:p>
    <w:p w:rsid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为响应国家构建现代职教体系的战略任务，近年来，本市分别开展了中等职业教育与高等职业教育、中等职业教育与应用型本科、高等职业教育与应用型本科相衔接的培养模式试点（以下分别简称中高贯通、中本贯通、高本贯通）工作，贯通培养职业人才已经成为上海市职业教育的重要模式，理念是通过一体化的制度设计，实现对学生一贯制的培养，从而培养经济社会所需要的高素质技术技能型人才。2019年底市政府颁布了《上海职业教育高质量发展行动计划（2019-2022年）》，提出“完善贯通培养机制，逐步扩大贯通培养特别是高等职业教育—应用型本科贯通培养规模，使贯通培养成为上海职业教育人才培养的主要模式与方向”。新形势下，职业教育贯通培养模式也需要在从人才培</w:t>
      </w:r>
      <w:r w:rsidRPr="00F915C0">
        <w:rPr>
          <w:rFonts w:asciiTheme="minorEastAsia" w:hAnsiTheme="minorEastAsia" w:hint="eastAsia"/>
          <w:sz w:val="24"/>
          <w:szCs w:val="24"/>
        </w:rPr>
        <w:lastRenderedPageBreak/>
        <w:t xml:space="preserve">养的成效、问题等方面重新审视自身，厘清发展过程中的障碍与问题，以便实现下一步更好的发展。 </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课题重点研究但不限于以下几方面：1. 梳理总结迄今为止中高贯通、中本贯通、高本贯通人才培养的成效与问题；2. 基于本市过去几年贯通人才培养的实践，研究明晰贯通培养的职业人才质量与普通中职毕业生、高中入学的高职毕业生质量的具体差异；3. 基于国家职教20条和上海三年行动计划关于贯通培养的要求，研究明确贯通培养的职业人才质量的基本标准、核心标准、培养方向和关键要求；4. 对以教育部门为主的相关政府部门提出进一步提升贯通培养的职业人才质量的政策建议。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九、培训机构预收资金安全保障机制研究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课题重点研究但不限于以下几方面：1.在调研基础上分析现行培训机构收费的合理性与规范性、预收资金的风险性等事项;2.综合比较、分析其他国家、地区以及其他行业的有效管理经验；3.整合提出有关培训机构预收资金安全保障机制的思路建议和可行措施。</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十、民办托幼机构的成本与支持政策研究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课题重点研究但不限于以下几方面：1.分类研究和测算民办托幼机构（含民办幼儿园、民办托育机构等）的办园成本；2.梳理、分析现有的相关管理和支持政策；3.研究提出完善相关管理办法和扶持措施的政策建议，尤其是在特殊时期（如疫情防控实际情况、入园入托矛盾较突出时期）的扶持政策。</w:t>
      </w:r>
    </w:p>
    <w:p w:rsidR="00F915C0" w:rsidRDefault="00F915C0" w:rsidP="00C57CC8">
      <w:pPr>
        <w:rPr>
          <w:rFonts w:asciiTheme="minorEastAsia" w:hAnsiTheme="minorEastAsia"/>
          <w:b/>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十一、上海民办教育征信制度研究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课题重点研究但不限于以下几方面：1.开展政策调研，通过对目前国内出台征信领域相关政策制度、经验举措进行归类研究，对民办教育领域征信制度建设提供借鉴；2.开展行业调研，通过对我市相关行政部门、民办学校和教育机构开展调研，了解民办教育领域征信制度建设的需求和基础；3.结合国家和我市民办教育改革发展、综合治理整体部署，针对上海民办教育领域信用监管的主体内容、制度基础、信息采集、信用评级等环节的重点难点提出解决对策，为上海市构建民办教育信用制度体系提出政策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十二、上海高校分类评价的类型区分度研究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【研究要义提示】依据上海高校分类管理的法律法规，着眼上海高等教育发展目标，围绕高校基本职能，提出提升四类型高校指标区分度和引领力的意见建</w:t>
      </w:r>
    </w:p>
    <w:p w:rsidR="00C57CC8" w:rsidRPr="00F915C0" w:rsidRDefault="00C57CC8" w:rsidP="00C57CC8">
      <w:pPr>
        <w:rPr>
          <w:rFonts w:asciiTheme="minorEastAsia" w:hAnsiTheme="minorEastAsia"/>
          <w:sz w:val="24"/>
          <w:szCs w:val="24"/>
        </w:rPr>
      </w:pPr>
      <w:r w:rsidRPr="00F915C0">
        <w:rPr>
          <w:rFonts w:asciiTheme="minorEastAsia" w:hAnsiTheme="minorEastAsia" w:hint="eastAsia"/>
          <w:sz w:val="24"/>
          <w:szCs w:val="24"/>
        </w:rPr>
        <w:t>议。课题重点研究但不限于以下几方面：1.理论研究，进一步明晰上海高校分类评价的理论依据，阐发各类型的内涵特征；2.对比研究，系统梳理研究各省市高等级教育分类评价经验，总结出共性做法、先进经验；3.指标研究，依据理论定位和特征，在上海当前高校分类评价指标体系基础上，提出精准体现各类型特色的指标体系。</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十三、新时代上海基础教育教师专业发展政策支持研究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【研究要义提示】本课题要求围绕上海市委、市政府发布的《关于全面深化新时代教师队伍建设改革的实施意见》，重点研究但不限于以下几方面：1.对标</w:t>
      </w:r>
      <w:r w:rsidRPr="00F915C0">
        <w:rPr>
          <w:rFonts w:asciiTheme="minorEastAsia" w:hAnsiTheme="minorEastAsia" w:hint="eastAsia"/>
          <w:sz w:val="24"/>
          <w:szCs w:val="24"/>
        </w:rPr>
        <w:lastRenderedPageBreak/>
        <w:t>上海实现教育现代化、建设世界一流基础教育教师队伍的迫切要求，采用实地调研、访谈、问卷等研究方法，聚焦研究基础教育教师的培育体系、专业能力发展、保障机制等方面；2.比较分析若干国际大都市以及长三角地区浙江、江苏部分城市的教师发展情况，提取有效经验措施；3.梳理分析上海基础教育教师发展的优势与存在的不足，探究本市基础教育教师专业发展的社会需求与政策诉求，提出相应的政策支持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十四、新时代上海教师职前教育体系研究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本课题要求围绕上海市委、市政府发布的《关于全面深化新时代教师队伍建设改革的实施意见》和教育现代化2035相关要求，开展新时代上海教师职前教育体系研究。重点研究但不限于以下几方面：1.全面调研本市18个师范生培养的本科院校与高职院校、28个师范专业培养机构的发展现状；2.对接国家公费师范生培养、师范类专业认证、卓越教师培养一流本科专业（金专）、一流课程（金课）等政策举措，分析上海教师教育的专业化、规范化建设的路径；3.考虑信息技术、大数据、人工智能等教学方式变革因素，研究提出加大基础教育教师职前培养，以及职前培养和职后培训一体化教师专业发展体系构建的政策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十五、高校学生职业生涯发展教育课程体系设计研究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【研究要义提示】本课题要求分类考虑不同层次、不同类型学校的特性，研究、设计贯穿大学生从入校到毕业全过程的生涯发展课程体系、教学标准以及实施方式，提出相对科学、可操作的政策建议。</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十六、基于大数据应用的上海高校毕业生就业质量评价研究</w:t>
      </w:r>
    </w:p>
    <w:p w:rsidR="00C57CC8" w:rsidRPr="00F915C0" w:rsidRDefault="00C57CC8" w:rsidP="00F915C0">
      <w:pPr>
        <w:ind w:firstLineChars="200" w:firstLine="480"/>
        <w:rPr>
          <w:rFonts w:asciiTheme="minorEastAsia" w:hAnsiTheme="minorEastAsia"/>
          <w:sz w:val="24"/>
          <w:szCs w:val="24"/>
        </w:rPr>
      </w:pPr>
      <w:r w:rsidRPr="00F915C0">
        <w:rPr>
          <w:rFonts w:asciiTheme="minorEastAsia" w:hAnsiTheme="minorEastAsia" w:hint="eastAsia"/>
          <w:sz w:val="24"/>
          <w:szCs w:val="24"/>
        </w:rPr>
        <w:t>【研究要义提示】本课题要求在广泛调研的基础上，重点研究但不限于以下几方面：1.大数据时代高校毕业生就业质量评价工作面临的新变革和挑战；2.高校毕业生就业质量评价中合理、有效应用大数据的原则和路径；3.依托大数据应用，研究探索政府、学校、社会的有效合作方式，构建大数据与高校毕业生就业质量评价有效结合的新机制。</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十七、融媒体时代上海高校宣传思想阵地建设管理研究</w:t>
      </w:r>
    </w:p>
    <w:p w:rsidR="00C57CC8" w:rsidRPr="00F915C0" w:rsidRDefault="00C57CC8" w:rsidP="00F915C0">
      <w:pPr>
        <w:ind w:firstLineChars="150" w:firstLine="360"/>
        <w:rPr>
          <w:rFonts w:asciiTheme="minorEastAsia" w:hAnsiTheme="minorEastAsia"/>
          <w:sz w:val="24"/>
          <w:szCs w:val="24"/>
        </w:rPr>
      </w:pPr>
      <w:r w:rsidRPr="00F915C0">
        <w:rPr>
          <w:rFonts w:asciiTheme="minorEastAsia" w:hAnsiTheme="minorEastAsia" w:hint="eastAsia"/>
          <w:sz w:val="24"/>
          <w:szCs w:val="24"/>
        </w:rPr>
        <w:t>【研究要义提示】高校肩负着学习研究宣传马克思主义、培养中国特色社会主义事业建设者和接班人的重大任务，随着技术迭代引领媒体格局演变加剧，多元社会思潮对高校的冲击日益强烈。在此背景下，本课题要求重点研究但不限于以下几方面：1.深入分析融媒体时代上海高校宣传思想阵地建设面临的新形势、新挑战；2.从主体责任、队伍建设、协同机制、载体平台建设等维度，探索进一步加强高校宣传思想阵地管理的有效路径，形成决策咨询报告。</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十八、新时代上海大学生人文素养培育研究</w:t>
      </w:r>
    </w:p>
    <w:p w:rsidR="00C57CC8" w:rsidRPr="00F915C0" w:rsidRDefault="00C57CC8" w:rsidP="00F915C0">
      <w:pPr>
        <w:ind w:firstLineChars="150" w:firstLine="360"/>
        <w:rPr>
          <w:rFonts w:asciiTheme="minorEastAsia" w:hAnsiTheme="minorEastAsia"/>
          <w:sz w:val="24"/>
          <w:szCs w:val="24"/>
        </w:rPr>
      </w:pPr>
      <w:r w:rsidRPr="00F915C0">
        <w:rPr>
          <w:rFonts w:asciiTheme="minorEastAsia" w:hAnsiTheme="minorEastAsia" w:hint="eastAsia"/>
          <w:sz w:val="24"/>
          <w:szCs w:val="24"/>
        </w:rPr>
        <w:t>【研究要义提示】大学生人文素养的培育，不仅关系到大学生自身综合素质的提高，更关系到国家和民族的未来，新时代加强和改进高校思想政治工作，推进大学生人文素养的培育显得尤为重要，也带来了新的机遇和挑战。结合问卷调研、座谈访谈等方式，对新时代上海大学生人文素养培育现状、机遇与挑战、培养路径等进行分析思考，提出对策建议，形成决策咨询报告。</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十九、党内法规制度的执行机制及具体方法研究</w:t>
      </w:r>
    </w:p>
    <w:p w:rsidR="00C57CC8" w:rsidRPr="00F915C0" w:rsidRDefault="00C57CC8" w:rsidP="00F915C0">
      <w:pPr>
        <w:ind w:firstLineChars="150" w:firstLine="360"/>
        <w:rPr>
          <w:rFonts w:asciiTheme="minorEastAsia" w:hAnsiTheme="minorEastAsia"/>
          <w:sz w:val="24"/>
          <w:szCs w:val="24"/>
        </w:rPr>
      </w:pPr>
      <w:r w:rsidRPr="00F915C0">
        <w:rPr>
          <w:rFonts w:asciiTheme="minorEastAsia" w:hAnsiTheme="minorEastAsia" w:hint="eastAsia"/>
          <w:sz w:val="24"/>
          <w:szCs w:val="24"/>
        </w:rPr>
        <w:t>【研究要义提示】本课题要求在系统研究梳理《中国共产党党内法规执行责任制规定（试行）》的基础上，重点研究但不限于以下几方面：1.分析党内法规制度执行中存在的短板和不足；2.从完善机制、落实责任、学习教育和监督保障等方面提出切实可行的具体落实建议，提高党内法规制度的执行力，推动党内法规的全面有效实施。</w:t>
      </w:r>
    </w:p>
    <w:p w:rsidR="00F915C0" w:rsidRDefault="00F915C0" w:rsidP="00C57CC8">
      <w:pPr>
        <w:rPr>
          <w:rFonts w:asciiTheme="minorEastAsia" w:hAnsiTheme="minorEastAsia"/>
          <w:sz w:val="24"/>
          <w:szCs w:val="24"/>
        </w:rPr>
      </w:pPr>
    </w:p>
    <w:p w:rsidR="00C57CC8" w:rsidRPr="00F915C0" w:rsidRDefault="00C57CC8" w:rsidP="00C57CC8">
      <w:pPr>
        <w:rPr>
          <w:rFonts w:asciiTheme="minorEastAsia" w:hAnsiTheme="minorEastAsia"/>
          <w:b/>
          <w:sz w:val="24"/>
          <w:szCs w:val="24"/>
        </w:rPr>
      </w:pPr>
      <w:r w:rsidRPr="00F915C0">
        <w:rPr>
          <w:rFonts w:asciiTheme="minorEastAsia" w:hAnsiTheme="minorEastAsia" w:hint="eastAsia"/>
          <w:b/>
          <w:sz w:val="24"/>
          <w:szCs w:val="24"/>
        </w:rPr>
        <w:t>二十、教育类党内规范性文件与行政规范性文件备案审查的衔接联动机制研究</w:t>
      </w:r>
    </w:p>
    <w:p w:rsidR="00C57CC8" w:rsidRPr="00F915C0" w:rsidRDefault="00C57CC8" w:rsidP="00F915C0">
      <w:pPr>
        <w:ind w:firstLineChars="150" w:firstLine="360"/>
        <w:rPr>
          <w:rFonts w:asciiTheme="minorEastAsia" w:hAnsiTheme="minorEastAsia"/>
          <w:sz w:val="24"/>
          <w:szCs w:val="24"/>
        </w:rPr>
      </w:pPr>
      <w:r w:rsidRPr="00F915C0">
        <w:rPr>
          <w:rFonts w:asciiTheme="minorEastAsia" w:hAnsiTheme="minorEastAsia" w:hint="eastAsia"/>
          <w:sz w:val="24"/>
          <w:szCs w:val="24"/>
        </w:rPr>
        <w:t>【研究要义提示】本课题要求重点研究但不限于以下几方面：1.两类规范性文件备案审查工作的协调联动机制，包括如何建立有效的会商机制、联席会议机</w:t>
      </w:r>
    </w:p>
    <w:p w:rsidR="00C57CC8" w:rsidRPr="00F915C0" w:rsidRDefault="00C57CC8" w:rsidP="00C57CC8">
      <w:pPr>
        <w:rPr>
          <w:rFonts w:asciiTheme="minorEastAsia" w:hAnsiTheme="minorEastAsia"/>
          <w:sz w:val="24"/>
          <w:szCs w:val="24"/>
        </w:rPr>
      </w:pPr>
      <w:r w:rsidRPr="00F915C0">
        <w:rPr>
          <w:rFonts w:asciiTheme="minorEastAsia" w:hAnsiTheme="minorEastAsia" w:hint="eastAsia"/>
          <w:sz w:val="24"/>
          <w:szCs w:val="24"/>
        </w:rPr>
        <w:t>制、情况通报机制等；2.两类规范性文件审查标准的衔接机制，包括合法性审查机制、合理性审查机制等；3.教育党政联合发文的备案审查程序的协调与衔接机</w:t>
      </w:r>
    </w:p>
    <w:p w:rsidR="00C57CC8" w:rsidRPr="00F915C0" w:rsidRDefault="00C57CC8" w:rsidP="00C57CC8">
      <w:pPr>
        <w:rPr>
          <w:rFonts w:asciiTheme="minorEastAsia" w:hAnsiTheme="minorEastAsia"/>
          <w:sz w:val="24"/>
          <w:szCs w:val="24"/>
        </w:rPr>
      </w:pPr>
      <w:r w:rsidRPr="00F915C0">
        <w:rPr>
          <w:rFonts w:asciiTheme="minorEastAsia" w:hAnsiTheme="minorEastAsia" w:hint="eastAsia"/>
          <w:sz w:val="24"/>
          <w:szCs w:val="24"/>
        </w:rPr>
        <w:t>制。</w:t>
      </w:r>
    </w:p>
    <w:p w:rsidR="00D02606" w:rsidRDefault="00D02606" w:rsidP="00FF452B">
      <w:pPr>
        <w:ind w:firstLineChars="200" w:firstLine="480"/>
        <w:rPr>
          <w:rFonts w:asciiTheme="minorEastAsia" w:hAnsiTheme="minorEastAsia"/>
          <w:sz w:val="24"/>
          <w:szCs w:val="24"/>
        </w:rPr>
      </w:pPr>
    </w:p>
    <w:p w:rsidR="00D02606" w:rsidRDefault="00D02606" w:rsidP="00FF452B">
      <w:pPr>
        <w:ind w:firstLineChars="200" w:firstLine="480"/>
        <w:rPr>
          <w:rFonts w:asciiTheme="minorEastAsia" w:hAnsiTheme="minorEastAsia"/>
          <w:sz w:val="24"/>
          <w:szCs w:val="24"/>
        </w:rPr>
      </w:pPr>
    </w:p>
    <w:p w:rsidR="00C57CC8" w:rsidRPr="00D02606" w:rsidRDefault="00C57CC8" w:rsidP="00D02606">
      <w:pPr>
        <w:ind w:firstLineChars="200" w:firstLine="482"/>
        <w:rPr>
          <w:rFonts w:asciiTheme="minorEastAsia" w:hAnsiTheme="minorEastAsia"/>
          <w:b/>
          <w:sz w:val="24"/>
          <w:szCs w:val="24"/>
        </w:rPr>
      </w:pPr>
      <w:r w:rsidRPr="00D02606">
        <w:rPr>
          <w:rFonts w:asciiTheme="minorEastAsia" w:hAnsiTheme="minorEastAsia" w:hint="eastAsia"/>
          <w:b/>
          <w:sz w:val="24"/>
          <w:szCs w:val="24"/>
        </w:rPr>
        <w:t>各项目研究进度要求</w:t>
      </w:r>
    </w:p>
    <w:p w:rsidR="00C57CC8" w:rsidRPr="00F915C0" w:rsidRDefault="00C57CC8" w:rsidP="00C57CC8">
      <w:pPr>
        <w:rPr>
          <w:rFonts w:asciiTheme="minorEastAsia" w:hAnsiTheme="minorEastAsia"/>
          <w:sz w:val="24"/>
          <w:szCs w:val="24"/>
        </w:rPr>
      </w:pPr>
      <w:r w:rsidRPr="00F915C0">
        <w:rPr>
          <w:rFonts w:asciiTheme="minorEastAsia" w:hAnsiTheme="minorEastAsia" w:hint="eastAsia"/>
          <w:sz w:val="24"/>
          <w:szCs w:val="24"/>
        </w:rPr>
        <w:t>1.2020年8月底，提交项目研究中期成果报告，进行中期成果评估。</w:t>
      </w:r>
    </w:p>
    <w:p w:rsidR="00C57CC8" w:rsidRPr="00F915C0" w:rsidRDefault="00C57CC8" w:rsidP="00C57CC8">
      <w:pPr>
        <w:rPr>
          <w:rFonts w:asciiTheme="minorEastAsia" w:hAnsiTheme="minorEastAsia"/>
          <w:sz w:val="24"/>
          <w:szCs w:val="24"/>
        </w:rPr>
      </w:pPr>
      <w:r w:rsidRPr="00F915C0">
        <w:rPr>
          <w:rFonts w:asciiTheme="minorEastAsia" w:hAnsiTheme="minorEastAsia" w:hint="eastAsia"/>
          <w:sz w:val="24"/>
          <w:szCs w:val="24"/>
        </w:rPr>
        <w:t>2.2020年12月底，提交项目研究报告，进行结项验收</w:t>
      </w:r>
      <w:r w:rsidR="00FF452B">
        <w:rPr>
          <w:rFonts w:asciiTheme="minorEastAsia" w:hAnsiTheme="minorEastAsia" w:hint="eastAsia"/>
          <w:sz w:val="24"/>
          <w:szCs w:val="24"/>
        </w:rPr>
        <w:t>。</w:t>
      </w:r>
    </w:p>
    <w:sectPr w:rsidR="00C57CC8" w:rsidRPr="00F915C0" w:rsidSect="00F16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0A" w:rsidRDefault="00384D0A" w:rsidP="00A74229">
      <w:r>
        <w:separator/>
      </w:r>
    </w:p>
  </w:endnote>
  <w:endnote w:type="continuationSeparator" w:id="0">
    <w:p w:rsidR="00384D0A" w:rsidRDefault="00384D0A" w:rsidP="00A7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0A" w:rsidRDefault="00384D0A" w:rsidP="00A74229">
      <w:r>
        <w:separator/>
      </w:r>
    </w:p>
  </w:footnote>
  <w:footnote w:type="continuationSeparator" w:id="0">
    <w:p w:rsidR="00384D0A" w:rsidRDefault="00384D0A" w:rsidP="00A74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4229"/>
    <w:rsid w:val="0007023A"/>
    <w:rsid w:val="00151F00"/>
    <w:rsid w:val="00327CAF"/>
    <w:rsid w:val="00384D0A"/>
    <w:rsid w:val="00A74229"/>
    <w:rsid w:val="00C57CC8"/>
    <w:rsid w:val="00D02606"/>
    <w:rsid w:val="00F16F2D"/>
    <w:rsid w:val="00F915C0"/>
    <w:rsid w:val="00FF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F0512F-EEBF-414C-9D0C-D986A711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4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4229"/>
    <w:rPr>
      <w:sz w:val="18"/>
      <w:szCs w:val="18"/>
    </w:rPr>
  </w:style>
  <w:style w:type="paragraph" w:styleId="a4">
    <w:name w:val="footer"/>
    <w:basedOn w:val="a"/>
    <w:link w:val="Char0"/>
    <w:uiPriority w:val="99"/>
    <w:semiHidden/>
    <w:unhideWhenUsed/>
    <w:rsid w:val="00A742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4229"/>
    <w:rPr>
      <w:sz w:val="18"/>
      <w:szCs w:val="18"/>
    </w:rPr>
  </w:style>
  <w:style w:type="character" w:styleId="a5">
    <w:name w:val="Hyperlink"/>
    <w:basedOn w:val="a0"/>
    <w:uiPriority w:val="99"/>
    <w:unhideWhenUsed/>
    <w:rsid w:val="00F91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805</Words>
  <Characters>4592</Characters>
  <Application>Microsoft Office Word</Application>
  <DocSecurity>0</DocSecurity>
  <Lines>38</Lines>
  <Paragraphs>10</Paragraphs>
  <ScaleCrop>false</ScaleCrop>
  <Company>china</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Windows 用户</cp:lastModifiedBy>
  <cp:revision>6</cp:revision>
  <dcterms:created xsi:type="dcterms:W3CDTF">2020-05-18T07:34:00Z</dcterms:created>
  <dcterms:modified xsi:type="dcterms:W3CDTF">2020-05-18T09:07:00Z</dcterms:modified>
</cp:coreProperties>
</file>