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lang w:val="en-US" w:eastAsia="zh-CN"/>
        </w:rPr>
        <w:t>互联网接入服务</w:t>
      </w:r>
      <w:r>
        <w:rPr>
          <w:rFonts w:hint="eastAsia"/>
          <w:b/>
          <w:sz w:val="32"/>
        </w:rPr>
        <w:t>采购需求</w:t>
      </w:r>
    </w:p>
    <w:p/>
    <w:p>
      <w:pPr>
        <w:spacing w:line="360" w:lineRule="auto"/>
        <w:rPr>
          <w:rFonts w:asciiTheme="minorEastAsia" w:hAnsiTheme="minorEastAsia"/>
          <w:sz w:val="24"/>
        </w:rPr>
      </w:pPr>
      <w:r>
        <w:rPr>
          <w:rFonts w:hint="eastAsia" w:asciiTheme="minorEastAsia" w:hAnsiTheme="minorEastAsia"/>
          <w:sz w:val="24"/>
        </w:rPr>
        <w:t>项目名称：</w:t>
      </w:r>
      <w:r>
        <w:rPr>
          <w:rFonts w:hint="eastAsia" w:asciiTheme="minorEastAsia" w:hAnsiTheme="minorEastAsia"/>
          <w:sz w:val="24"/>
          <w:lang w:val="en-US" w:eastAsia="zh-CN"/>
        </w:rPr>
        <w:t>互联网接入服务</w:t>
      </w:r>
      <w:r>
        <w:rPr>
          <w:rFonts w:hint="eastAsia" w:asciiTheme="minorEastAsia" w:hAnsiTheme="minorEastAsia"/>
          <w:sz w:val="24"/>
        </w:rPr>
        <w:t>采购</w:t>
      </w:r>
    </w:p>
    <w:p>
      <w:pPr>
        <w:spacing w:line="360" w:lineRule="auto"/>
        <w:rPr>
          <w:rFonts w:hint="default" w:asciiTheme="minorEastAsia" w:hAnsiTheme="minorEastAsia"/>
          <w:sz w:val="24"/>
          <w:lang w:val="en-US"/>
        </w:rPr>
      </w:pPr>
      <w:r>
        <w:rPr>
          <w:rFonts w:hint="eastAsia" w:asciiTheme="minorEastAsia" w:hAnsiTheme="minorEastAsia"/>
          <w:sz w:val="24"/>
        </w:rPr>
        <w:t>预算金额：</w:t>
      </w:r>
      <w:r>
        <w:rPr>
          <w:rFonts w:hint="eastAsia" w:asciiTheme="minorEastAsia" w:hAnsiTheme="minorEastAsia"/>
          <w:sz w:val="24"/>
          <w:lang w:val="en-US" w:eastAsia="zh-CN"/>
        </w:rPr>
        <w:t>327.6万元</w:t>
      </w:r>
    </w:p>
    <w:p>
      <w:pPr>
        <w:spacing w:line="360" w:lineRule="auto"/>
        <w:rPr>
          <w:rFonts w:hint="default" w:asciiTheme="minorEastAsia" w:hAnsiTheme="minorEastAsia" w:eastAsiaTheme="minorEastAsia"/>
          <w:sz w:val="24"/>
          <w:lang w:val="en-US" w:eastAsia="zh-CN"/>
        </w:rPr>
      </w:pPr>
      <w:r>
        <w:rPr>
          <w:rFonts w:hint="eastAsia" w:asciiTheme="minorEastAsia" w:hAnsiTheme="minorEastAsia"/>
          <w:sz w:val="24"/>
        </w:rPr>
        <w:t>采购方式：</w:t>
      </w:r>
      <w:r>
        <w:rPr>
          <w:rFonts w:hint="eastAsia" w:asciiTheme="minorEastAsia" w:hAnsiTheme="minorEastAsia"/>
          <w:sz w:val="24"/>
          <w:lang w:val="en-US" w:eastAsia="zh-CN"/>
        </w:rPr>
        <w:t>电子集市采购</w:t>
      </w:r>
    </w:p>
    <w:p>
      <w:pPr>
        <w:spacing w:line="360" w:lineRule="auto"/>
        <w:rPr>
          <w:sz w:val="24"/>
        </w:rPr>
      </w:pPr>
      <w:r>
        <w:rPr>
          <w:rFonts w:hint="eastAsia" w:asciiTheme="minorEastAsia" w:hAnsiTheme="minorEastAsia"/>
          <w:sz w:val="24"/>
        </w:rPr>
        <w:t>政采编号：22-09451</w:t>
      </w:r>
    </w:p>
    <w:p>
      <w:pPr>
        <w:spacing w:line="360" w:lineRule="auto"/>
        <w:rPr>
          <w:b/>
          <w:bCs/>
          <w:sz w:val="28"/>
          <w:szCs w:val="28"/>
        </w:rPr>
      </w:pPr>
      <w:r>
        <w:rPr>
          <w:rFonts w:hint="eastAsia"/>
          <w:sz w:val="24"/>
        </w:rPr>
        <w:t xml:space="preserve">   </w:t>
      </w:r>
      <w:r>
        <w:rPr>
          <w:rFonts w:hint="eastAsia"/>
          <w:b/>
          <w:bCs/>
          <w:sz w:val="24"/>
        </w:rPr>
        <w:t xml:space="preserve"> </w:t>
      </w:r>
      <w:r>
        <w:rPr>
          <w:rFonts w:hint="eastAsia"/>
          <w:b/>
          <w:bCs/>
          <w:sz w:val="28"/>
          <w:szCs w:val="28"/>
        </w:rPr>
        <w:t>一、项目建设目标</w:t>
      </w:r>
    </w:p>
    <w:p>
      <w:pPr>
        <w:spacing w:line="360" w:lineRule="auto"/>
        <w:ind w:firstLine="408"/>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校园网出口即互联网接入带宽（IPV4）总计达到6 G以上，目前学校在用互联网接入合计4.2G，分别由中国教育和科研计算机网、中国电信和中国联通组成；提供两校区（松江与古北）之间裸光纤（至少4芯）管道线路租赁使用权；提供两校区（松江与古北）之间一条备用链路（速率至少500M）；提供一条链路（速率至少10M）用于松江校区与教师人才公寓（松江区三星北路）之间连接。</w:t>
      </w:r>
    </w:p>
    <w:p>
      <w:pPr>
        <w:spacing w:line="360" w:lineRule="auto"/>
        <w:ind w:firstLine="408"/>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项目预算金额即为历年对应支付的互联网接入服务费用总和。</w:t>
      </w:r>
    </w:p>
    <w:p>
      <w:pPr>
        <w:numPr>
          <w:ilvl w:val="0"/>
          <w:numId w:val="1"/>
        </w:numPr>
        <w:spacing w:line="360" w:lineRule="auto"/>
        <w:ind w:firstLine="408"/>
        <w:rPr>
          <w:rFonts w:hint="eastAsia"/>
          <w:b/>
          <w:bCs/>
          <w:sz w:val="28"/>
          <w:szCs w:val="28"/>
        </w:rPr>
      </w:pPr>
      <w:r>
        <w:rPr>
          <w:rFonts w:hint="eastAsia"/>
          <w:b/>
          <w:bCs/>
          <w:sz w:val="28"/>
          <w:szCs w:val="28"/>
        </w:rPr>
        <w:t>采购数量及价格参考</w:t>
      </w:r>
    </w:p>
    <w:p>
      <w:pPr>
        <w:spacing w:line="360" w:lineRule="auto"/>
        <w:ind w:firstLine="408"/>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前期组织专家磋商谈判，再进行电子集市采购点单，可分别就互联网接入500M、1G、2G、3G、4G等</w:t>
      </w:r>
      <w:bookmarkStart w:id="0" w:name="_GoBack"/>
      <w:bookmarkEnd w:id="0"/>
      <w:r>
        <w:rPr>
          <w:rFonts w:hint="eastAsia" w:asciiTheme="minorEastAsia" w:hAnsiTheme="minorEastAsia"/>
          <w:color w:val="000000"/>
          <w:sz w:val="24"/>
          <w:szCs w:val="24"/>
          <w:lang w:val="en-US" w:eastAsia="zh-CN"/>
        </w:rPr>
        <w:t>带宽做分别报价及增值服务内容补充。</w:t>
      </w:r>
    </w:p>
    <w:p>
      <w:pPr>
        <w:spacing w:line="360" w:lineRule="auto"/>
        <w:ind w:firstLine="408"/>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报价表参考（可自行扩展）如下：</w:t>
      </w:r>
    </w:p>
    <w:tbl>
      <w:tblPr>
        <w:tblStyle w:val="7"/>
        <w:tblW w:w="0" w:type="auto"/>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376"/>
        <w:gridCol w:w="1290"/>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4" w:type="dxa"/>
            <w:vAlign w:val="center"/>
          </w:tcPr>
          <w:p>
            <w:pPr>
              <w:tabs>
                <w:tab w:val="center" w:pos="995"/>
              </w:tabs>
              <w:spacing w:line="360" w:lineRule="auto"/>
              <w:jc w:val="center"/>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运营商</w:t>
            </w:r>
          </w:p>
        </w:tc>
        <w:tc>
          <w:tcPr>
            <w:tcW w:w="2376"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互联网接入带宽</w:t>
            </w:r>
          </w:p>
        </w:tc>
        <w:tc>
          <w:tcPr>
            <w:tcW w:w="1290" w:type="dxa"/>
            <w:vAlign w:val="center"/>
          </w:tcPr>
          <w:p>
            <w:pPr>
              <w:spacing w:line="360" w:lineRule="auto"/>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报价</w:t>
            </w:r>
          </w:p>
        </w:tc>
        <w:tc>
          <w:tcPr>
            <w:tcW w:w="2140" w:type="dxa"/>
            <w:vAlign w:val="center"/>
          </w:tcPr>
          <w:p>
            <w:pPr>
              <w:spacing w:line="360" w:lineRule="auto"/>
              <w:jc w:val="center"/>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44" w:type="dxa"/>
            <w:vMerge w:val="restart"/>
            <w:vAlign w:val="center"/>
          </w:tcPr>
          <w:p>
            <w:pPr>
              <w:tabs>
                <w:tab w:val="center" w:pos="995"/>
              </w:tabs>
              <w:spacing w:line="360" w:lineRule="auto"/>
              <w:jc w:val="center"/>
              <w:rPr>
                <w:rFonts w:hint="eastAsia" w:asciiTheme="minorEastAsia" w:hAnsiTheme="minorEastAsia"/>
                <w:color w:val="000000"/>
                <w:sz w:val="24"/>
                <w:szCs w:val="24"/>
                <w:lang w:val="en-US" w:eastAsia="zh-CN"/>
              </w:rPr>
            </w:pPr>
          </w:p>
        </w:tc>
        <w:tc>
          <w:tcPr>
            <w:tcW w:w="2376" w:type="dxa"/>
            <w:vAlign w:val="center"/>
          </w:tcPr>
          <w:p>
            <w:pPr>
              <w:tabs>
                <w:tab w:val="left" w:pos="806"/>
              </w:tabs>
              <w:spacing w:line="360" w:lineRule="auto"/>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500M</w:t>
            </w:r>
          </w:p>
        </w:tc>
        <w:tc>
          <w:tcPr>
            <w:tcW w:w="1290"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p>
        </w:tc>
        <w:tc>
          <w:tcPr>
            <w:tcW w:w="2140"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4" w:type="dxa"/>
            <w:vMerge w:val="continue"/>
            <w:vAlign w:val="center"/>
          </w:tcPr>
          <w:p>
            <w:pPr>
              <w:tabs>
                <w:tab w:val="center" w:pos="995"/>
              </w:tabs>
              <w:spacing w:line="360" w:lineRule="auto"/>
              <w:jc w:val="center"/>
              <w:rPr>
                <w:rFonts w:hint="eastAsia" w:asciiTheme="minorEastAsia" w:hAnsiTheme="minorEastAsia"/>
                <w:color w:val="000000"/>
                <w:sz w:val="24"/>
                <w:szCs w:val="24"/>
                <w:lang w:val="en-US" w:eastAsia="zh-CN"/>
              </w:rPr>
            </w:pPr>
          </w:p>
        </w:tc>
        <w:tc>
          <w:tcPr>
            <w:tcW w:w="2376"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1G</w:t>
            </w:r>
          </w:p>
        </w:tc>
        <w:tc>
          <w:tcPr>
            <w:tcW w:w="1290"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p>
        </w:tc>
        <w:tc>
          <w:tcPr>
            <w:tcW w:w="2140"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4" w:type="dxa"/>
            <w:vMerge w:val="continue"/>
            <w:vAlign w:val="center"/>
          </w:tcPr>
          <w:p>
            <w:pPr>
              <w:tabs>
                <w:tab w:val="center" w:pos="995"/>
              </w:tabs>
              <w:spacing w:line="360" w:lineRule="auto"/>
              <w:jc w:val="center"/>
              <w:rPr>
                <w:rFonts w:hint="eastAsia" w:asciiTheme="minorEastAsia" w:hAnsiTheme="minorEastAsia"/>
                <w:color w:val="000000"/>
                <w:sz w:val="24"/>
                <w:szCs w:val="24"/>
                <w:lang w:val="en-US" w:eastAsia="zh-CN"/>
              </w:rPr>
            </w:pPr>
          </w:p>
        </w:tc>
        <w:tc>
          <w:tcPr>
            <w:tcW w:w="2376"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2G</w:t>
            </w:r>
          </w:p>
        </w:tc>
        <w:tc>
          <w:tcPr>
            <w:tcW w:w="1290"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p>
        </w:tc>
        <w:tc>
          <w:tcPr>
            <w:tcW w:w="2140"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44" w:type="dxa"/>
            <w:vMerge w:val="continue"/>
            <w:vAlign w:val="center"/>
          </w:tcPr>
          <w:p>
            <w:pPr>
              <w:tabs>
                <w:tab w:val="center" w:pos="995"/>
              </w:tabs>
              <w:spacing w:line="360" w:lineRule="auto"/>
              <w:jc w:val="center"/>
              <w:rPr>
                <w:rFonts w:hint="eastAsia" w:asciiTheme="minorEastAsia" w:hAnsiTheme="minorEastAsia"/>
                <w:color w:val="000000"/>
                <w:sz w:val="24"/>
                <w:szCs w:val="24"/>
                <w:lang w:val="en-US" w:eastAsia="zh-CN"/>
              </w:rPr>
            </w:pPr>
          </w:p>
        </w:tc>
        <w:tc>
          <w:tcPr>
            <w:tcW w:w="2376"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4G</w:t>
            </w:r>
          </w:p>
        </w:tc>
        <w:tc>
          <w:tcPr>
            <w:tcW w:w="1290"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p>
        </w:tc>
        <w:tc>
          <w:tcPr>
            <w:tcW w:w="2140" w:type="dxa"/>
            <w:vAlign w:val="center"/>
          </w:tcPr>
          <w:p>
            <w:pPr>
              <w:tabs>
                <w:tab w:val="center" w:pos="1175"/>
              </w:tabs>
              <w:spacing w:line="360" w:lineRule="auto"/>
              <w:jc w:val="center"/>
              <w:rPr>
                <w:rFonts w:hint="default" w:asciiTheme="minorEastAsia" w:hAnsiTheme="minorEastAsia"/>
                <w:color w:val="000000"/>
                <w:sz w:val="24"/>
                <w:szCs w:val="24"/>
                <w:lang w:val="en-US" w:eastAsia="zh-CN"/>
              </w:rPr>
            </w:pPr>
          </w:p>
        </w:tc>
      </w:tr>
    </w:tbl>
    <w:p>
      <w:pPr>
        <w:spacing w:line="360" w:lineRule="auto"/>
        <w:ind w:firstLine="408"/>
        <w:rPr>
          <w:rFonts w:hint="eastAsia"/>
          <w:sz w:val="28"/>
          <w:szCs w:val="28"/>
        </w:rPr>
      </w:pPr>
    </w:p>
    <w:p>
      <w:pPr>
        <w:spacing w:line="360" w:lineRule="auto"/>
        <w:ind w:firstLine="408"/>
        <w:rPr>
          <w:b/>
          <w:bCs/>
          <w:sz w:val="28"/>
          <w:szCs w:val="28"/>
        </w:rPr>
      </w:pPr>
      <w:r>
        <w:rPr>
          <w:rFonts w:hint="eastAsia"/>
          <w:b/>
          <w:bCs/>
          <w:sz w:val="28"/>
          <w:szCs w:val="28"/>
        </w:rPr>
        <w:t>三、供货要求</w:t>
      </w:r>
    </w:p>
    <w:p>
      <w:pPr>
        <w:spacing w:line="360" w:lineRule="auto"/>
        <w:ind w:firstLine="361" w:firstLineChars="150"/>
        <w:rPr>
          <w:rFonts w:hint="default" w:asciiTheme="minorEastAsia" w:hAnsiTheme="minorEastAsia"/>
          <w:b/>
          <w:bCs/>
          <w:color w:val="000000"/>
          <w:sz w:val="24"/>
          <w:szCs w:val="24"/>
          <w:lang w:val="en-US" w:eastAsia="zh-CN"/>
        </w:rPr>
      </w:pPr>
      <w:r>
        <w:rPr>
          <w:rFonts w:hint="eastAsia" w:asciiTheme="minorEastAsia" w:hAnsiTheme="minorEastAsia"/>
          <w:b/>
          <w:bCs/>
          <w:color w:val="000000"/>
          <w:sz w:val="24"/>
          <w:szCs w:val="24"/>
          <w:lang w:val="en-US" w:eastAsia="zh-CN"/>
        </w:rPr>
        <w:t>（一）、互联网接入带宽</w:t>
      </w:r>
    </w:p>
    <w:p>
      <w:pPr>
        <w:spacing w:line="360" w:lineRule="auto"/>
        <w:ind w:firstLine="360" w:firstLineChars="150"/>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1.</w:t>
      </w:r>
      <w:r>
        <w:rPr>
          <w:rFonts w:hint="eastAsia" w:asciiTheme="minorEastAsia" w:hAnsiTheme="minorEastAsia"/>
          <w:b w:val="0"/>
          <w:bCs w:val="0"/>
          <w:color w:val="000000"/>
          <w:sz w:val="24"/>
          <w:szCs w:val="24"/>
          <w:lang w:val="en-US" w:eastAsia="zh-CN"/>
        </w:rPr>
        <w:t>要求提供出口带宽网络接入到全国主干网。</w:t>
      </w:r>
    </w:p>
    <w:p>
      <w:pPr>
        <w:spacing w:line="360" w:lineRule="auto"/>
        <w:ind w:firstLine="360" w:firstLineChars="150"/>
        <w:rPr>
          <w:rFonts w:hint="eastAsia" w:asciiTheme="minorEastAsia" w:hAnsiTheme="minorEastAsia"/>
          <w:color w:val="000000"/>
          <w:sz w:val="24"/>
          <w:szCs w:val="24"/>
        </w:rPr>
      </w:pPr>
      <w:r>
        <w:rPr>
          <w:rFonts w:hint="eastAsia" w:asciiTheme="minorEastAsia" w:hAnsiTheme="minorEastAsia"/>
          <w:color w:val="000000"/>
          <w:sz w:val="24"/>
          <w:szCs w:val="24"/>
          <w:lang w:val="en-US" w:eastAsia="zh-CN"/>
        </w:rPr>
        <w:t>2</w:t>
      </w:r>
      <w:r>
        <w:rPr>
          <w:rFonts w:hint="eastAsia" w:asciiTheme="minorEastAsia" w:hAnsiTheme="minorEastAsia"/>
          <w:color w:val="000000"/>
          <w:sz w:val="24"/>
          <w:szCs w:val="24"/>
        </w:rPr>
        <w:t>.免费提供C类公有IP</w:t>
      </w:r>
      <w:r>
        <w:rPr>
          <w:rFonts w:hint="eastAsia" w:asciiTheme="minorEastAsia" w:hAnsiTheme="minorEastAsia"/>
          <w:color w:val="000000"/>
          <w:sz w:val="24"/>
          <w:szCs w:val="24"/>
          <w:lang w:val="en-US" w:eastAsia="zh-CN"/>
        </w:rPr>
        <w:t>v4</w:t>
      </w:r>
      <w:r>
        <w:rPr>
          <w:rFonts w:hint="eastAsia" w:asciiTheme="minorEastAsia" w:hAnsiTheme="minorEastAsia"/>
          <w:color w:val="000000"/>
          <w:sz w:val="24"/>
          <w:szCs w:val="24"/>
        </w:rPr>
        <w:t>地址</w:t>
      </w:r>
      <w:r>
        <w:rPr>
          <w:rFonts w:hint="eastAsia" w:asciiTheme="minorEastAsia" w:hAnsiTheme="minorEastAsia"/>
          <w:color w:val="000000"/>
          <w:sz w:val="24"/>
          <w:szCs w:val="24"/>
          <w:lang w:val="en-US" w:eastAsia="zh-CN"/>
        </w:rPr>
        <w:t>段</w:t>
      </w:r>
      <w:r>
        <w:rPr>
          <w:rFonts w:hint="eastAsia" w:asciiTheme="minorEastAsia" w:hAnsiTheme="minorEastAsia"/>
          <w:color w:val="000000"/>
          <w:sz w:val="24"/>
          <w:szCs w:val="24"/>
        </w:rPr>
        <w:t>，所提供的IP地址所有端口可用，并提供原有IP地址的平滑迁移服务。</w:t>
      </w:r>
    </w:p>
    <w:p>
      <w:pPr>
        <w:spacing w:line="360" w:lineRule="auto"/>
        <w:ind w:firstLine="360" w:firstLineChars="150"/>
        <w:rPr>
          <w:rFonts w:hint="eastAsia" w:asciiTheme="minorEastAsia" w:hAnsiTheme="minorEastAsia"/>
          <w:color w:val="000000"/>
          <w:sz w:val="24"/>
          <w:szCs w:val="24"/>
        </w:rPr>
      </w:pPr>
      <w:r>
        <w:rPr>
          <w:rFonts w:hint="eastAsia" w:asciiTheme="minorEastAsia" w:hAnsiTheme="minorEastAsia"/>
          <w:color w:val="000000"/>
          <w:sz w:val="24"/>
          <w:szCs w:val="24"/>
          <w:lang w:val="en-US" w:eastAsia="zh-CN"/>
        </w:rPr>
        <w:t>3.</w:t>
      </w:r>
      <w:r>
        <w:rPr>
          <w:rFonts w:hint="eastAsia" w:asciiTheme="minorEastAsia" w:hAnsiTheme="minorEastAsia"/>
          <w:color w:val="000000"/>
          <w:sz w:val="24"/>
          <w:szCs w:val="24"/>
        </w:rPr>
        <w:t>免费提供IPv6地址，所提供的IP地址所有端口可用，并提供原有IP地址的平滑迁移服务。</w:t>
      </w:r>
    </w:p>
    <w:p>
      <w:pPr>
        <w:spacing w:line="360" w:lineRule="auto"/>
        <w:ind w:firstLine="360" w:firstLineChars="150"/>
        <w:rPr>
          <w:rFonts w:hint="eastAsia" w:asciiTheme="minorEastAsia" w:hAnsiTheme="minorEastAsia"/>
          <w:color w:val="000000"/>
          <w:sz w:val="24"/>
          <w:szCs w:val="24"/>
        </w:rPr>
      </w:pPr>
      <w:r>
        <w:rPr>
          <w:rFonts w:hint="eastAsia" w:asciiTheme="minorEastAsia" w:hAnsiTheme="minorEastAsia"/>
          <w:color w:val="000000"/>
          <w:sz w:val="24"/>
          <w:szCs w:val="24"/>
          <w:lang w:val="en-US" w:eastAsia="zh-CN"/>
        </w:rPr>
        <w:t>4.</w:t>
      </w:r>
      <w:r>
        <w:rPr>
          <w:rFonts w:hint="eastAsia" w:asciiTheme="minorEastAsia" w:hAnsiTheme="minorEastAsia"/>
          <w:color w:val="000000"/>
          <w:sz w:val="24"/>
          <w:szCs w:val="24"/>
        </w:rPr>
        <w:t>要求支持静态接入或BGP接入。</w:t>
      </w:r>
    </w:p>
    <w:p>
      <w:pPr>
        <w:spacing w:line="360" w:lineRule="auto"/>
        <w:ind w:firstLine="360" w:firstLineChars="150"/>
        <w:rPr>
          <w:rFonts w:hint="eastAsia" w:asciiTheme="minorEastAsia" w:hAnsiTheme="minorEastAsia"/>
          <w:color w:val="000000"/>
          <w:sz w:val="24"/>
          <w:szCs w:val="24"/>
        </w:rPr>
      </w:pPr>
      <w:r>
        <w:rPr>
          <w:rFonts w:hint="eastAsia" w:asciiTheme="minorEastAsia" w:hAnsiTheme="minorEastAsia"/>
          <w:color w:val="000000"/>
          <w:sz w:val="24"/>
          <w:szCs w:val="24"/>
          <w:lang w:val="en-US" w:eastAsia="zh-CN"/>
        </w:rPr>
        <w:t>5.</w:t>
      </w:r>
      <w:r>
        <w:rPr>
          <w:rFonts w:hint="eastAsia" w:asciiTheme="minorEastAsia" w:hAnsiTheme="minorEastAsia"/>
          <w:color w:val="000000"/>
          <w:sz w:val="24"/>
          <w:szCs w:val="24"/>
        </w:rPr>
        <w:t>要求满足从用户机房核心路由器端ping接入链路的DNS服务延时小于10ms且丢包率低于0.1%。</w:t>
      </w:r>
    </w:p>
    <w:p>
      <w:pPr>
        <w:spacing w:line="360" w:lineRule="auto"/>
        <w:ind w:firstLine="360" w:firstLineChars="150"/>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6.要求</w:t>
      </w:r>
      <w:r>
        <w:rPr>
          <w:rFonts w:hint="eastAsia" w:asciiTheme="minorEastAsia" w:hAnsiTheme="minorEastAsia"/>
          <w:b w:val="0"/>
          <w:bCs w:val="0"/>
          <w:color w:val="000000"/>
          <w:sz w:val="24"/>
          <w:szCs w:val="24"/>
          <w:lang w:val="en-US" w:eastAsia="zh-CN"/>
        </w:rPr>
        <w:t>从学校出口网关处至运营商骨干网络任一设备之间平均丢包率≤1‰，平均延时≤20ms。</w:t>
      </w:r>
    </w:p>
    <w:p>
      <w:pPr>
        <w:spacing w:line="360" w:lineRule="auto"/>
        <w:ind w:firstLine="360" w:firstLineChars="150"/>
        <w:rPr>
          <w:rFonts w:hint="eastAsia" w:asciiTheme="minorEastAsia" w:hAnsiTheme="minorEastAsia"/>
          <w:color w:val="000000"/>
          <w:sz w:val="24"/>
          <w:szCs w:val="24"/>
        </w:rPr>
      </w:pPr>
      <w:r>
        <w:rPr>
          <w:rFonts w:hint="eastAsia" w:asciiTheme="minorEastAsia" w:hAnsiTheme="minorEastAsia"/>
          <w:color w:val="000000"/>
          <w:sz w:val="24"/>
          <w:szCs w:val="24"/>
          <w:lang w:val="en-US" w:eastAsia="zh-CN"/>
        </w:rPr>
        <w:t>7.</w:t>
      </w:r>
      <w:r>
        <w:rPr>
          <w:rFonts w:hint="eastAsia" w:asciiTheme="minorEastAsia" w:hAnsiTheme="minorEastAsia"/>
          <w:color w:val="000000"/>
          <w:sz w:val="24"/>
          <w:szCs w:val="24"/>
        </w:rPr>
        <w:t>提供足够的安全防范设施，在任何情况下（不可抗力除外）始终保证用户链路带宽畅通，至全国主干网丢包率低于0.1%，至国际路由丢包率低于0.5%。</w:t>
      </w:r>
    </w:p>
    <w:p>
      <w:pPr>
        <w:spacing w:line="360" w:lineRule="auto"/>
        <w:ind w:firstLine="361" w:firstLineChars="150"/>
        <w:rPr>
          <w:rFonts w:hint="eastAsia" w:asciiTheme="minorEastAsia" w:hAnsiTheme="minorEastAsia"/>
          <w:b/>
          <w:bCs/>
          <w:color w:val="000000"/>
          <w:sz w:val="24"/>
          <w:szCs w:val="24"/>
          <w:lang w:val="en-US" w:eastAsia="zh-CN"/>
        </w:rPr>
      </w:pPr>
      <w:r>
        <w:rPr>
          <w:rFonts w:hint="eastAsia" w:asciiTheme="minorEastAsia" w:hAnsiTheme="minorEastAsia"/>
          <w:b/>
          <w:bCs/>
          <w:color w:val="000000"/>
          <w:sz w:val="24"/>
          <w:szCs w:val="24"/>
          <w:lang w:val="en-US" w:eastAsia="zh-CN"/>
        </w:rPr>
        <w:t>（二）、两校区（松江与古北）之间裸光纤管道线路租赁使用权</w:t>
      </w:r>
    </w:p>
    <w:p>
      <w:pPr>
        <w:spacing w:line="360" w:lineRule="auto"/>
        <w:ind w:firstLine="360" w:firstLineChars="150"/>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1.租赁使用权为1年。</w:t>
      </w:r>
    </w:p>
    <w:p>
      <w:pPr>
        <w:spacing w:line="360" w:lineRule="auto"/>
        <w:ind w:firstLine="360" w:firstLineChars="150"/>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2.地下管道井直连裸纤，不经过任何运营商机房带电设备跳转。</w:t>
      </w:r>
    </w:p>
    <w:p>
      <w:pPr>
        <w:spacing w:line="360" w:lineRule="auto"/>
        <w:ind w:firstLine="360" w:firstLineChars="150"/>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3.至少4芯单模可用。</w:t>
      </w:r>
    </w:p>
    <w:p>
      <w:pPr>
        <w:spacing w:line="360" w:lineRule="auto"/>
        <w:ind w:firstLine="360" w:firstLineChars="150"/>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4.光纤种类G652，要求每公里衰减低于0.19dB，中继段衰耗低于0.38dB。并以技术指标1310nm≤0.35dB/km,1550nm≤0.21dB/km作为光缆单盘测试标准。</w:t>
      </w:r>
    </w:p>
    <w:p>
      <w:pPr>
        <w:spacing w:line="360" w:lineRule="auto"/>
        <w:ind w:firstLine="361" w:firstLineChars="150"/>
        <w:rPr>
          <w:rFonts w:hint="eastAsia" w:asciiTheme="minorEastAsia" w:hAnsiTheme="minorEastAsia"/>
          <w:b/>
          <w:bCs/>
          <w:color w:val="000000"/>
          <w:sz w:val="24"/>
          <w:szCs w:val="24"/>
          <w:lang w:val="en-US" w:eastAsia="zh-CN"/>
        </w:rPr>
      </w:pPr>
      <w:r>
        <w:rPr>
          <w:rFonts w:hint="eastAsia" w:asciiTheme="minorEastAsia" w:hAnsiTheme="minorEastAsia"/>
          <w:b/>
          <w:bCs/>
          <w:color w:val="000000"/>
          <w:sz w:val="24"/>
          <w:szCs w:val="24"/>
          <w:lang w:val="en-US" w:eastAsia="zh-CN"/>
        </w:rPr>
        <w:t>（三）、两校区之间备用链路</w:t>
      </w:r>
    </w:p>
    <w:p>
      <w:pPr>
        <w:spacing w:line="360" w:lineRule="auto"/>
        <w:ind w:firstLine="360" w:firstLineChars="150"/>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1.速率至少500M。</w:t>
      </w:r>
    </w:p>
    <w:p>
      <w:pPr>
        <w:spacing w:line="360" w:lineRule="auto"/>
        <w:ind w:firstLine="360" w:firstLineChars="150"/>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2.提供从甲方网络出口设备到（上海）全国核心骨干网节点设备之间以最短路由接入，IP路由跳数不大于3跳。</w:t>
      </w:r>
    </w:p>
    <w:p>
      <w:pPr>
        <w:spacing w:line="360" w:lineRule="auto"/>
        <w:ind w:firstLine="360" w:firstLineChars="150"/>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3.接入全国主干网延迟低于20ms,丢包率低于0.1%。</w:t>
      </w:r>
    </w:p>
    <w:p>
      <w:pPr>
        <w:spacing w:line="360" w:lineRule="auto"/>
        <w:ind w:firstLine="360" w:firstLineChars="150"/>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4.至国际路由对端海缆延迟东亚低于100ms，北美和欧洲低于250ms，丢包率低于0.5%。</w:t>
      </w:r>
    </w:p>
    <w:p>
      <w:pPr>
        <w:spacing w:line="360" w:lineRule="auto"/>
        <w:ind w:firstLine="361" w:firstLineChars="150"/>
        <w:rPr>
          <w:rFonts w:hint="eastAsia" w:asciiTheme="minorEastAsia" w:hAnsiTheme="minorEastAsia"/>
          <w:color w:val="000000"/>
          <w:sz w:val="24"/>
          <w:szCs w:val="24"/>
          <w:lang w:val="en-US" w:eastAsia="zh-CN"/>
        </w:rPr>
      </w:pPr>
      <w:r>
        <w:rPr>
          <w:rFonts w:hint="eastAsia" w:asciiTheme="minorEastAsia" w:hAnsiTheme="minorEastAsia"/>
          <w:b/>
          <w:bCs/>
          <w:color w:val="000000"/>
          <w:sz w:val="24"/>
          <w:szCs w:val="24"/>
          <w:lang w:val="en-US" w:eastAsia="zh-CN"/>
        </w:rPr>
        <w:t>（四）、松江校区与教师人才公寓（松江区三星北路1800号）之间链路。</w:t>
      </w:r>
    </w:p>
    <w:p>
      <w:pPr>
        <w:spacing w:line="360" w:lineRule="auto"/>
        <w:ind w:firstLine="360" w:firstLineChars="150"/>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1.速率至少10M。</w:t>
      </w:r>
    </w:p>
    <w:p>
      <w:pPr>
        <w:spacing w:line="360" w:lineRule="auto"/>
        <w:ind w:firstLine="360" w:firstLineChars="150"/>
        <w:rPr>
          <w:rFonts w:hint="eastAsia"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2.提供从甲方网络出口设备经乙方机房设备跳转到教师人才公寓节点设备之间以最短路由接入，IP路由跳数不大于3跳。</w:t>
      </w:r>
    </w:p>
    <w:p>
      <w:pPr>
        <w:spacing w:line="360" w:lineRule="auto"/>
        <w:ind w:firstLine="408"/>
        <w:rPr>
          <w:rFonts w:hint="eastAsia"/>
          <w:sz w:val="28"/>
          <w:szCs w:val="28"/>
        </w:rPr>
      </w:pPr>
      <w:r>
        <w:rPr>
          <w:rFonts w:hint="eastAsia"/>
          <w:b/>
          <w:bCs/>
          <w:sz w:val="28"/>
          <w:szCs w:val="28"/>
          <w:lang w:val="en-US" w:eastAsia="zh-CN"/>
        </w:rPr>
        <w:t>四、</w:t>
      </w:r>
      <w:r>
        <w:rPr>
          <w:rFonts w:hint="eastAsia"/>
          <w:b/>
          <w:bCs/>
          <w:sz w:val="28"/>
          <w:szCs w:val="28"/>
        </w:rPr>
        <w:t>维护要求</w:t>
      </w:r>
    </w:p>
    <w:p>
      <w:pPr>
        <w:spacing w:line="360" w:lineRule="auto"/>
        <w:ind w:firstLine="360" w:firstLineChars="150"/>
        <w:rPr>
          <w:rFonts w:hint="eastAsia" w:asciiTheme="minorEastAsia" w:hAnsiTheme="minorEastAsia"/>
          <w:color w:val="000000"/>
          <w:sz w:val="24"/>
          <w:szCs w:val="24"/>
        </w:rPr>
      </w:pPr>
      <w:r>
        <w:rPr>
          <w:rFonts w:hint="eastAsia" w:asciiTheme="minorEastAsia" w:hAnsiTheme="minorEastAsia"/>
          <w:color w:val="000000"/>
          <w:sz w:val="24"/>
          <w:szCs w:val="24"/>
          <w:lang w:val="en-US" w:eastAsia="zh-CN"/>
        </w:rPr>
        <w:t>1.要求</w:t>
      </w:r>
      <w:r>
        <w:rPr>
          <w:rFonts w:hint="eastAsia" w:asciiTheme="minorEastAsia" w:hAnsiTheme="minorEastAsia"/>
          <w:color w:val="000000"/>
          <w:sz w:val="24"/>
          <w:szCs w:val="24"/>
        </w:rPr>
        <w:t>建立故障处理流程以及网间通信应急方案等，并负责处理、排除故障。</w:t>
      </w:r>
    </w:p>
    <w:p>
      <w:pPr>
        <w:spacing w:line="360" w:lineRule="auto"/>
        <w:ind w:firstLine="360" w:firstLineChars="150"/>
        <w:rPr>
          <w:rFonts w:hint="eastAsia" w:asciiTheme="minorEastAsia" w:hAnsiTheme="minorEastAsia"/>
          <w:color w:val="000000"/>
          <w:sz w:val="24"/>
          <w:szCs w:val="24"/>
        </w:rPr>
      </w:pPr>
      <w:r>
        <w:rPr>
          <w:rFonts w:hint="eastAsia" w:asciiTheme="minorEastAsia" w:hAnsiTheme="minorEastAsia"/>
          <w:color w:val="000000"/>
          <w:sz w:val="24"/>
          <w:szCs w:val="24"/>
        </w:rPr>
        <w:t>2</w:t>
      </w:r>
      <w:r>
        <w:rPr>
          <w:rFonts w:hint="eastAsia" w:asciiTheme="minorEastAsia" w:hAnsiTheme="minorEastAsia"/>
          <w:color w:val="000000"/>
          <w:sz w:val="24"/>
          <w:szCs w:val="24"/>
          <w:lang w:eastAsia="zh-CN"/>
        </w:rPr>
        <w:t>.</w:t>
      </w:r>
      <w:r>
        <w:rPr>
          <w:rFonts w:hint="eastAsia" w:asciiTheme="minorEastAsia" w:hAnsiTheme="minorEastAsia"/>
          <w:color w:val="000000"/>
          <w:sz w:val="24"/>
          <w:szCs w:val="24"/>
          <w:lang w:val="en-US" w:eastAsia="zh-CN"/>
        </w:rPr>
        <w:t>要求</w:t>
      </w:r>
      <w:r>
        <w:rPr>
          <w:rFonts w:hint="eastAsia" w:asciiTheme="minorEastAsia" w:hAnsiTheme="minorEastAsia"/>
          <w:color w:val="000000"/>
          <w:sz w:val="24"/>
          <w:szCs w:val="24"/>
        </w:rPr>
        <w:t>提供明确的故障受理联系方式，并提供7×24小时的故障受理技术支持；故障申告响应时限：</w:t>
      </w:r>
      <w:r>
        <w:rPr>
          <w:rFonts w:hint="eastAsia" w:asciiTheme="minorEastAsia" w:hAnsiTheme="minorEastAsia"/>
          <w:color w:val="000000"/>
          <w:sz w:val="24"/>
          <w:szCs w:val="24"/>
          <w:lang w:val="en-US" w:eastAsia="zh-CN"/>
        </w:rPr>
        <w:t>5</w:t>
      </w:r>
      <w:r>
        <w:rPr>
          <w:rFonts w:hint="eastAsia" w:asciiTheme="minorEastAsia" w:hAnsiTheme="minorEastAsia"/>
          <w:color w:val="000000"/>
          <w:sz w:val="24"/>
          <w:szCs w:val="24"/>
        </w:rPr>
        <w:t>分钟；故障排除反馈时限：30分钟，并应在3个工作日内出具故障处理报告。</w:t>
      </w:r>
    </w:p>
    <w:p>
      <w:pPr>
        <w:spacing w:line="360" w:lineRule="auto"/>
        <w:ind w:firstLine="360" w:firstLineChars="150"/>
        <w:rPr>
          <w:rFonts w:hint="eastAsia" w:asciiTheme="minorEastAsia" w:hAnsiTheme="minorEastAsia"/>
          <w:color w:val="000000"/>
          <w:sz w:val="24"/>
          <w:szCs w:val="24"/>
        </w:rPr>
      </w:pPr>
      <w:r>
        <w:rPr>
          <w:rFonts w:hint="eastAsia" w:asciiTheme="minorEastAsia" w:hAnsiTheme="minorEastAsia"/>
          <w:color w:val="000000"/>
          <w:sz w:val="24"/>
          <w:szCs w:val="24"/>
        </w:rPr>
        <w:t>3</w:t>
      </w:r>
      <w:r>
        <w:rPr>
          <w:rFonts w:hint="eastAsia" w:asciiTheme="minorEastAsia" w:hAnsiTheme="minorEastAsia"/>
          <w:color w:val="000000"/>
          <w:sz w:val="24"/>
          <w:szCs w:val="24"/>
          <w:lang w:eastAsia="zh-CN"/>
        </w:rPr>
        <w:t>.</w:t>
      </w:r>
      <w:r>
        <w:rPr>
          <w:rFonts w:hint="eastAsia" w:asciiTheme="minorEastAsia" w:hAnsiTheme="minorEastAsia"/>
          <w:color w:val="000000"/>
          <w:sz w:val="24"/>
          <w:szCs w:val="24"/>
        </w:rPr>
        <w:t>当网络安全受到威胁时，</w:t>
      </w:r>
      <w:r>
        <w:rPr>
          <w:rFonts w:hint="eastAsia" w:asciiTheme="minorEastAsia" w:hAnsiTheme="minorEastAsia"/>
          <w:color w:val="000000"/>
          <w:sz w:val="24"/>
          <w:szCs w:val="24"/>
          <w:lang w:val="en-US" w:eastAsia="zh-CN"/>
        </w:rPr>
        <w:t>要求</w:t>
      </w:r>
      <w:r>
        <w:rPr>
          <w:rFonts w:hint="eastAsia" w:asciiTheme="minorEastAsia" w:hAnsiTheme="minorEastAsia"/>
          <w:color w:val="000000"/>
          <w:sz w:val="24"/>
          <w:szCs w:val="24"/>
        </w:rPr>
        <w:t>提供明确的安全保障联系方式，并提供7×24小时的网络安全技术支持；故障申告响应时限：</w:t>
      </w:r>
      <w:r>
        <w:rPr>
          <w:rFonts w:hint="eastAsia" w:asciiTheme="minorEastAsia" w:hAnsiTheme="minorEastAsia"/>
          <w:color w:val="000000"/>
          <w:sz w:val="24"/>
          <w:szCs w:val="24"/>
          <w:lang w:val="en-US" w:eastAsia="zh-CN"/>
        </w:rPr>
        <w:t>3</w:t>
      </w:r>
      <w:r>
        <w:rPr>
          <w:rFonts w:hint="eastAsia" w:asciiTheme="minorEastAsia" w:hAnsiTheme="minorEastAsia"/>
          <w:color w:val="000000"/>
          <w:sz w:val="24"/>
          <w:szCs w:val="24"/>
        </w:rPr>
        <w:t>分钟；故障排除反馈时限：</w:t>
      </w:r>
      <w:r>
        <w:rPr>
          <w:rFonts w:hint="eastAsia" w:asciiTheme="minorEastAsia" w:hAnsiTheme="minorEastAsia"/>
          <w:color w:val="000000"/>
          <w:sz w:val="24"/>
          <w:szCs w:val="24"/>
          <w:lang w:val="en-US" w:eastAsia="zh-CN"/>
        </w:rPr>
        <w:t>1</w:t>
      </w:r>
      <w:r>
        <w:rPr>
          <w:rFonts w:hint="eastAsia" w:asciiTheme="minorEastAsia" w:hAnsiTheme="minorEastAsia"/>
          <w:color w:val="000000"/>
          <w:sz w:val="24"/>
          <w:szCs w:val="24"/>
        </w:rPr>
        <w:t>0分钟，并应在</w:t>
      </w:r>
      <w:r>
        <w:rPr>
          <w:rFonts w:hint="eastAsia" w:asciiTheme="minorEastAsia" w:hAnsiTheme="minorEastAsia"/>
          <w:color w:val="000000"/>
          <w:sz w:val="24"/>
          <w:szCs w:val="24"/>
          <w:lang w:val="en-US" w:eastAsia="zh-CN"/>
        </w:rPr>
        <w:t>2</w:t>
      </w:r>
      <w:r>
        <w:rPr>
          <w:rFonts w:hint="eastAsia" w:asciiTheme="minorEastAsia" w:hAnsiTheme="minorEastAsia"/>
          <w:color w:val="000000"/>
          <w:sz w:val="24"/>
          <w:szCs w:val="24"/>
        </w:rPr>
        <w:t>个工作日内出具网络安全处理报告，且提交网络安全服务报告。</w:t>
      </w:r>
    </w:p>
    <w:p>
      <w:pPr>
        <w:spacing w:line="360" w:lineRule="auto"/>
        <w:ind w:firstLine="360" w:firstLineChars="150"/>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4.</w:t>
      </w:r>
      <w:r>
        <w:rPr>
          <w:rFonts w:hint="eastAsia" w:asciiTheme="minorEastAsia" w:hAnsiTheme="minorEastAsia"/>
          <w:b w:val="0"/>
          <w:bCs w:val="0"/>
          <w:color w:val="000000"/>
          <w:sz w:val="24"/>
          <w:szCs w:val="24"/>
          <w:lang w:val="en-US" w:eastAsia="zh-CN"/>
        </w:rPr>
        <w:t>疫情防控期间及学校重大活动期间等特殊时期，提供带宽免费扩容及保障服务。</w:t>
      </w:r>
    </w:p>
    <w:p>
      <w:pPr>
        <w:spacing w:line="360" w:lineRule="auto"/>
        <w:ind w:firstLine="408"/>
        <w:rPr>
          <w:rFonts w:hint="eastAsia"/>
          <w:sz w:val="28"/>
          <w:szCs w:val="28"/>
          <w:lang w:val="en-US" w:eastAsia="zh-CN"/>
        </w:rPr>
      </w:pPr>
      <w:r>
        <w:rPr>
          <w:rFonts w:hint="eastAsia"/>
          <w:b/>
          <w:bCs/>
          <w:sz w:val="28"/>
          <w:szCs w:val="28"/>
          <w:lang w:val="en-US" w:eastAsia="zh-CN"/>
        </w:rPr>
        <w:t>五、合同款项的支付方式</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Arial"/>
          <w:kern w:val="0"/>
          <w:sz w:val="24"/>
          <w:szCs w:val="24"/>
        </w:rPr>
      </w:pPr>
      <w:r>
        <w:rPr>
          <w:rFonts w:hint="eastAsia" w:ascii="宋体" w:hAnsi="宋体" w:eastAsia="宋体" w:cs="Arial"/>
          <w:kern w:val="0"/>
          <w:sz w:val="24"/>
          <w:szCs w:val="24"/>
        </w:rPr>
        <w:t>甲方收到全部货物</w:t>
      </w:r>
      <w:r>
        <w:rPr>
          <w:rFonts w:hint="eastAsia" w:ascii="宋体" w:hAnsi="宋体" w:eastAsia="宋体" w:cs="Arial"/>
          <w:kern w:val="0"/>
          <w:sz w:val="24"/>
          <w:szCs w:val="24"/>
          <w:lang w:val="en-US" w:eastAsia="zh-CN"/>
        </w:rPr>
        <w:t>且</w:t>
      </w:r>
      <w:r>
        <w:rPr>
          <w:rFonts w:hint="eastAsia" w:ascii="宋体" w:hAnsi="宋体" w:eastAsia="宋体" w:cs="Arial"/>
          <w:kern w:val="0"/>
          <w:sz w:val="24"/>
          <w:szCs w:val="24"/>
        </w:rPr>
        <w:t>确认无误</w:t>
      </w: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并在收到合同发票后一个月内</w:t>
      </w:r>
      <w:r>
        <w:rPr>
          <w:rFonts w:hint="eastAsia" w:ascii="宋体" w:hAnsi="宋体" w:eastAsia="宋体" w:cs="Arial"/>
          <w:kern w:val="0"/>
          <w:sz w:val="24"/>
          <w:szCs w:val="24"/>
        </w:rPr>
        <w:t>向乙方支付全部款项。</w:t>
      </w:r>
    </w:p>
    <w:sectPr>
      <w:pgSz w:w="11906" w:h="16838"/>
      <w:pgMar w:top="1191"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4546E"/>
    <w:multiLevelType w:val="singleLevel"/>
    <w:tmpl w:val="FB6454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ExZDIwMmM4NGUzMjQ1MWM3ODdmY2FlZDdkMWYifQ=="/>
  </w:docVars>
  <w:rsids>
    <w:rsidRoot w:val="00617D5C"/>
    <w:rsid w:val="000603AB"/>
    <w:rsid w:val="00140B3D"/>
    <w:rsid w:val="002558C3"/>
    <w:rsid w:val="00376713"/>
    <w:rsid w:val="004534F5"/>
    <w:rsid w:val="0047024E"/>
    <w:rsid w:val="004B3F59"/>
    <w:rsid w:val="004D02A3"/>
    <w:rsid w:val="004D5701"/>
    <w:rsid w:val="005814BD"/>
    <w:rsid w:val="005971B2"/>
    <w:rsid w:val="005A26C0"/>
    <w:rsid w:val="0061114E"/>
    <w:rsid w:val="00617D5C"/>
    <w:rsid w:val="006C7BA3"/>
    <w:rsid w:val="006D5641"/>
    <w:rsid w:val="006E2CF7"/>
    <w:rsid w:val="007068A0"/>
    <w:rsid w:val="007A60F6"/>
    <w:rsid w:val="0081207F"/>
    <w:rsid w:val="008229E4"/>
    <w:rsid w:val="00863543"/>
    <w:rsid w:val="00865DCF"/>
    <w:rsid w:val="008E5DD8"/>
    <w:rsid w:val="00912F42"/>
    <w:rsid w:val="00933CAD"/>
    <w:rsid w:val="00943818"/>
    <w:rsid w:val="0095018B"/>
    <w:rsid w:val="00A02D9A"/>
    <w:rsid w:val="00A22EB3"/>
    <w:rsid w:val="00AA22D7"/>
    <w:rsid w:val="00AD364F"/>
    <w:rsid w:val="00B32714"/>
    <w:rsid w:val="00C456D7"/>
    <w:rsid w:val="00D3014B"/>
    <w:rsid w:val="00E70179"/>
    <w:rsid w:val="06331A9B"/>
    <w:rsid w:val="0E910396"/>
    <w:rsid w:val="12FF70B1"/>
    <w:rsid w:val="201D1353"/>
    <w:rsid w:val="2DC16199"/>
    <w:rsid w:val="324D7303"/>
    <w:rsid w:val="36AA560A"/>
    <w:rsid w:val="3A3057C7"/>
    <w:rsid w:val="3A701418"/>
    <w:rsid w:val="40631DA6"/>
    <w:rsid w:val="4508096C"/>
    <w:rsid w:val="4A1F4A5F"/>
    <w:rsid w:val="4B222566"/>
    <w:rsid w:val="4E874A52"/>
    <w:rsid w:val="57615375"/>
    <w:rsid w:val="58581272"/>
    <w:rsid w:val="63752410"/>
    <w:rsid w:val="679D53B1"/>
    <w:rsid w:val="68085C7B"/>
    <w:rsid w:val="6CFC037E"/>
    <w:rsid w:val="6F1E65FC"/>
    <w:rsid w:val="6F8D0083"/>
    <w:rsid w:val="778A75EB"/>
    <w:rsid w:val="7FCE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uiPriority w:val="99"/>
    <w:rPr>
      <w:sz w:val="18"/>
      <w:szCs w:val="18"/>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1233</Words>
  <Characters>1391</Characters>
  <Lines>4</Lines>
  <Paragraphs>1</Paragraphs>
  <TotalTime>24</TotalTime>
  <ScaleCrop>false</ScaleCrop>
  <LinksUpToDate>false</LinksUpToDate>
  <CharactersWithSpaces>1396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Zwp</cp:lastModifiedBy>
  <dcterms:modified xsi:type="dcterms:W3CDTF">2022-07-11T08:47:03Z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029BAA57F9C9489CA4A7FCD0DC43735A</vt:lpwstr>
  </property>
</Properties>
</file>