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D6744" w:rsidRPr="005D6744" w:rsidRDefault="005D6744">
      <w:pPr>
        <w:jc w:val="center"/>
        <w:rPr>
          <w:rFonts w:ascii="汉仪综艺体简" w:eastAsia="汉仪综艺体简" w:hAnsi="宋体" w:hint="default"/>
          <w:b/>
          <w:sz w:val="28"/>
          <w:szCs w:val="28"/>
        </w:rPr>
      </w:pPr>
      <w:r w:rsidRPr="005D6744">
        <w:rPr>
          <w:rFonts w:ascii="汉仪综艺体简" w:eastAsia="汉仪综艺体简" w:hAnsi="宋体"/>
          <w:b/>
          <w:sz w:val="28"/>
          <w:szCs w:val="28"/>
        </w:rPr>
        <w:t>2019年上海“国际法学”研究生学术论坛</w:t>
      </w:r>
    </w:p>
    <w:p w:rsidR="009A420F" w:rsidRPr="005D6744" w:rsidRDefault="009A420F">
      <w:pPr>
        <w:jc w:val="center"/>
        <w:rPr>
          <w:rFonts w:ascii="仿宋" w:eastAsia="仿宋" w:hAnsi="仿宋" w:hint="default"/>
          <w:sz w:val="28"/>
          <w:szCs w:val="28"/>
          <w:shd w:val="clear" w:color="auto" w:fill="C6D9F0"/>
        </w:rPr>
      </w:pPr>
      <w:r w:rsidRPr="005D6744">
        <w:rPr>
          <w:rFonts w:ascii="汉仪综艺体简" w:eastAsia="汉仪综艺体简" w:hAnsi="宋体"/>
          <w:b/>
          <w:sz w:val="28"/>
          <w:szCs w:val="28"/>
        </w:rPr>
        <w:t>获奖名单</w:t>
      </w:r>
    </w:p>
    <w:p w:rsidR="009A420F" w:rsidRPr="00D46BE8" w:rsidRDefault="009A420F" w:rsidP="00692A77">
      <w:pPr>
        <w:spacing w:beforeLines="50" w:before="156" w:afterLines="50" w:after="156"/>
        <w:jc w:val="left"/>
        <w:rPr>
          <w:rFonts w:ascii="仿宋" w:eastAsia="仿宋" w:hAnsi="仿宋" w:hint="default"/>
          <w:b/>
          <w:sz w:val="24"/>
          <w:shd w:val="clear" w:color="auto" w:fill="C6D9F0"/>
        </w:rPr>
      </w:pPr>
      <w:r w:rsidRPr="00D46BE8">
        <w:rPr>
          <w:rFonts w:ascii="仿宋" w:eastAsia="仿宋" w:hAnsi="仿宋"/>
          <w:b/>
          <w:bCs/>
          <w:sz w:val="32"/>
          <w:szCs w:val="22"/>
          <w:shd w:val="clear" w:color="auto" w:fill="C6D9F0"/>
        </w:rPr>
        <w:t xml:space="preserve">一  等  奖                                                  </w:t>
      </w:r>
    </w:p>
    <w:p w:rsidR="009A420F" w:rsidRPr="00D46BE8" w:rsidRDefault="009A420F" w:rsidP="009D4BDB">
      <w:pPr>
        <w:pStyle w:val="1"/>
        <w:spacing w:line="400" w:lineRule="exact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论群岛范围的界定标准——从《海洋法公约》第46（b）条出发</w:t>
      </w:r>
    </w:p>
    <w:p w:rsidR="009A420F" w:rsidRPr="00D46BE8" w:rsidRDefault="009A420F" w:rsidP="009D4BDB">
      <w:pPr>
        <w:pStyle w:val="1"/>
        <w:spacing w:line="400" w:lineRule="exac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 </w:t>
      </w:r>
      <w:proofErr w:type="gramStart"/>
      <w:r w:rsidRPr="00D46BE8">
        <w:rPr>
          <w:rFonts w:ascii="仿宋" w:eastAsia="仿宋" w:hAnsi="仿宋" w:cs="仿宋"/>
          <w:b/>
          <w:sz w:val="24"/>
        </w:rPr>
        <w:t>侯初晨</w:t>
      </w:r>
      <w:proofErr w:type="gramEnd"/>
      <w:r w:rsidRPr="00D46BE8">
        <w:rPr>
          <w:rFonts w:ascii="仿宋" w:eastAsia="仿宋" w:hAnsi="仿宋" w:cs="仿宋"/>
          <w:b/>
          <w:sz w:val="24"/>
        </w:rPr>
        <w:t xml:space="preserve">       复旦大学            </w:t>
      </w:r>
    </w:p>
    <w:p w:rsidR="009A420F" w:rsidRPr="00D46BE8" w:rsidRDefault="009A420F" w:rsidP="009D4BDB">
      <w:pPr>
        <w:widowControl/>
        <w:spacing w:line="400" w:lineRule="exact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绿色国际能源投资之稳定条款研究</w:t>
      </w:r>
    </w:p>
    <w:p w:rsidR="009D4BDB" w:rsidRPr="00D46BE8" w:rsidRDefault="009A420F" w:rsidP="009D4BDB">
      <w:pPr>
        <w:widowControl/>
        <w:spacing w:line="400" w:lineRule="exac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 范璐晶       山东大学           </w:t>
      </w:r>
    </w:p>
    <w:p w:rsidR="009A420F" w:rsidRPr="00D46BE8" w:rsidRDefault="009A420F" w:rsidP="009D4BDB">
      <w:pPr>
        <w:widowControl/>
        <w:spacing w:line="400" w:lineRule="exac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《通用数据保护条例》第3条评注——以域外管辖为中心</w:t>
      </w:r>
    </w:p>
    <w:p w:rsidR="009A420F" w:rsidRPr="00D46BE8" w:rsidRDefault="009A420F" w:rsidP="00BE0460">
      <w:pPr>
        <w:pStyle w:val="1"/>
        <w:spacing w:line="400" w:lineRule="exact"/>
        <w:ind w:firstLineChars="150" w:firstLine="361"/>
        <w:jc w:val="left"/>
        <w:rPr>
          <w:rFonts w:ascii="仿宋" w:eastAsia="仿宋" w:hAnsi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俞胜杰       华东政法大学 </w:t>
      </w:r>
    </w:p>
    <w:p w:rsidR="009A420F" w:rsidRPr="00D46BE8" w:rsidRDefault="009A420F" w:rsidP="00692A77">
      <w:pPr>
        <w:spacing w:beforeLines="50" w:before="156" w:afterLines="50" w:after="156"/>
        <w:rPr>
          <w:rFonts w:ascii="仿宋" w:eastAsia="仿宋" w:hAnsi="仿宋" w:hint="default"/>
          <w:b/>
          <w:sz w:val="24"/>
          <w:shd w:val="clear" w:color="auto" w:fill="C6D9F0"/>
        </w:rPr>
      </w:pPr>
      <w:r w:rsidRPr="00D46BE8">
        <w:rPr>
          <w:rFonts w:ascii="仿宋" w:eastAsia="仿宋" w:hAnsi="仿宋"/>
          <w:b/>
          <w:bCs/>
          <w:sz w:val="32"/>
          <w:szCs w:val="22"/>
          <w:shd w:val="clear" w:color="auto" w:fill="C6D9F0"/>
        </w:rPr>
        <w:t xml:space="preserve">二  等  奖                                                  </w:t>
      </w:r>
    </w:p>
    <w:p w:rsidR="000644F6" w:rsidRPr="00D46BE8" w:rsidRDefault="000644F6" w:rsidP="000644F6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>国家缺位：国际法软硬之别？</w:t>
      </w:r>
    </w:p>
    <w:p w:rsidR="000644F6" w:rsidRPr="00D46BE8" w:rsidRDefault="000644F6" w:rsidP="000644F6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 黄健昀       中国人民大学</w:t>
      </w:r>
    </w:p>
    <w:p w:rsidR="00D46BE8" w:rsidRPr="00D46BE8" w:rsidRDefault="00D46BE8" w:rsidP="00D46BE8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我国涉外一般侵权法律适用实证研究-以346份裁判文书为中心</w:t>
      </w:r>
    </w:p>
    <w:p w:rsidR="00D46BE8" w:rsidRDefault="00D46BE8" w:rsidP="00D46BE8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 蔡斯芊       武大国际法研究所</w:t>
      </w:r>
    </w:p>
    <w:p w:rsidR="009A420F" w:rsidRPr="00D46BE8" w:rsidRDefault="009A420F" w:rsidP="00D46BE8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国际贸易中的数据跨境传输法律问题分析——以WTO电子商务多边协定的签订为视角</w:t>
      </w:r>
    </w:p>
    <w:p w:rsidR="009A420F" w:rsidRPr="00D46BE8" w:rsidRDefault="009A420F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 </w:t>
      </w:r>
      <w:proofErr w:type="gramStart"/>
      <w:r w:rsidRPr="00D46BE8">
        <w:rPr>
          <w:rFonts w:ascii="仿宋" w:eastAsia="仿宋" w:hAnsi="仿宋" w:cs="仿宋"/>
          <w:b/>
          <w:sz w:val="24"/>
        </w:rPr>
        <w:t>管洁泉</w:t>
      </w:r>
      <w:proofErr w:type="gramEnd"/>
      <w:r w:rsidRPr="00D46BE8">
        <w:rPr>
          <w:rFonts w:ascii="仿宋" w:eastAsia="仿宋" w:hAnsi="仿宋" w:cs="仿宋"/>
          <w:b/>
          <w:sz w:val="24"/>
        </w:rPr>
        <w:t xml:space="preserve">       复旦大学</w:t>
      </w:r>
    </w:p>
    <w:p w:rsidR="009A420F" w:rsidRPr="00D46BE8" w:rsidRDefault="009A420F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>欧式FTA-plus的新近发展及中国的应对之策</w:t>
      </w:r>
    </w:p>
    <w:p w:rsidR="009A420F" w:rsidRPr="00D46BE8" w:rsidRDefault="009A420F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 </w:t>
      </w:r>
      <w:proofErr w:type="gramStart"/>
      <w:r w:rsidRPr="00D46BE8">
        <w:rPr>
          <w:rFonts w:ascii="仿宋" w:eastAsia="仿宋" w:hAnsi="仿宋" w:cs="仿宋"/>
          <w:b/>
          <w:sz w:val="24"/>
        </w:rPr>
        <w:t>张贻博</w:t>
      </w:r>
      <w:proofErr w:type="gramEnd"/>
      <w:r w:rsidRPr="00D46BE8">
        <w:rPr>
          <w:rFonts w:ascii="仿宋" w:eastAsia="仿宋" w:hAnsi="仿宋" w:cs="仿宋"/>
          <w:b/>
          <w:sz w:val="24"/>
        </w:rPr>
        <w:t xml:space="preserve">       上海对外经贸大学           </w:t>
      </w:r>
    </w:p>
    <w:p w:rsidR="009A420F" w:rsidRPr="00D46BE8" w:rsidRDefault="009A420F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>国际投资争端调解机制的晚近发展与透明度困境</w:t>
      </w:r>
    </w:p>
    <w:p w:rsidR="009A420F" w:rsidRPr="00D46BE8" w:rsidRDefault="009A420F">
      <w:pPr>
        <w:pStyle w:val="1"/>
        <w:spacing w:line="400" w:lineRule="atLeast"/>
        <w:jc w:val="left"/>
        <w:rPr>
          <w:rFonts w:ascii="仿宋" w:eastAsia="仿宋" w:hAnsi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 范晓宇       武汉大学        </w:t>
      </w:r>
    </w:p>
    <w:p w:rsidR="009A420F" w:rsidRPr="005F18AB" w:rsidRDefault="009A420F" w:rsidP="005F18AB">
      <w:pPr>
        <w:spacing w:beforeLines="50" w:before="156" w:afterLines="50" w:after="156"/>
        <w:rPr>
          <w:rFonts w:ascii="仿宋" w:eastAsia="仿宋" w:hAnsi="仿宋" w:hint="default"/>
          <w:b/>
          <w:bCs/>
          <w:sz w:val="32"/>
          <w:szCs w:val="22"/>
          <w:shd w:val="clear" w:color="auto" w:fill="C6D9F0"/>
        </w:rPr>
      </w:pPr>
      <w:r w:rsidRPr="005F18AB">
        <w:rPr>
          <w:rFonts w:ascii="仿宋" w:eastAsia="仿宋" w:hAnsi="仿宋"/>
          <w:b/>
          <w:bCs/>
          <w:sz w:val="32"/>
          <w:szCs w:val="22"/>
          <w:shd w:val="clear" w:color="auto" w:fill="C6D9F0"/>
        </w:rPr>
        <w:t xml:space="preserve">三  等  奖                                                  </w:t>
      </w:r>
    </w:p>
    <w:p w:rsidR="009A420F" w:rsidRPr="00D46BE8" w:rsidRDefault="009A420F" w:rsidP="00D92581">
      <w:pPr>
        <w:spacing w:line="400" w:lineRule="exac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>TPP与USMCA中数据跨境</w:t>
      </w:r>
      <w:bookmarkStart w:id="0" w:name="_GoBack"/>
      <w:bookmarkEnd w:id="0"/>
      <w:r w:rsidRPr="00D46BE8">
        <w:rPr>
          <w:rFonts w:ascii="仿宋" w:eastAsia="仿宋" w:hAnsi="仿宋" w:cs="仿宋"/>
          <w:b/>
          <w:sz w:val="24"/>
        </w:rPr>
        <w:t>流动规则研究</w:t>
      </w:r>
    </w:p>
    <w:p w:rsidR="009A420F" w:rsidRPr="00D46BE8" w:rsidRDefault="009A420F" w:rsidP="00D92581">
      <w:pPr>
        <w:spacing w:line="400" w:lineRule="exac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刘燕彬、李子</w:t>
      </w:r>
      <w:proofErr w:type="gramStart"/>
      <w:r w:rsidRPr="00D46BE8">
        <w:rPr>
          <w:rFonts w:ascii="仿宋" w:eastAsia="仿宋" w:hAnsi="仿宋" w:cs="仿宋"/>
          <w:b/>
          <w:sz w:val="24"/>
        </w:rPr>
        <w:t>钰</w:t>
      </w:r>
      <w:proofErr w:type="gramEnd"/>
      <w:r w:rsidR="00692A77">
        <w:rPr>
          <w:rFonts w:ascii="仿宋" w:eastAsia="仿宋" w:hAnsi="仿宋" w:cs="仿宋"/>
          <w:b/>
          <w:sz w:val="24"/>
        </w:rPr>
        <w:t xml:space="preserve">      </w:t>
      </w:r>
      <w:r w:rsidRPr="00D46BE8">
        <w:rPr>
          <w:rFonts w:ascii="仿宋" w:eastAsia="仿宋" w:hAnsi="仿宋" w:cs="仿宋"/>
          <w:b/>
          <w:sz w:val="24"/>
        </w:rPr>
        <w:t xml:space="preserve">复旦大学、中国政法大学       </w:t>
      </w:r>
    </w:p>
    <w:p w:rsidR="009A420F" w:rsidRPr="00D46BE8" w:rsidRDefault="009A420F" w:rsidP="00D92581">
      <w:pPr>
        <w:spacing w:line="400" w:lineRule="exact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在线诉讼的规则构建：比较研究与中国路径</w:t>
      </w:r>
    </w:p>
    <w:p w:rsidR="009A420F" w:rsidRPr="00D46BE8" w:rsidRDefault="009A420F" w:rsidP="00D92581">
      <w:pPr>
        <w:spacing w:line="400" w:lineRule="exac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苏伟康、汪辰光      上海对外经贸大学           </w:t>
      </w:r>
    </w:p>
    <w:p w:rsidR="009A420F" w:rsidRPr="00D46BE8" w:rsidRDefault="009A420F" w:rsidP="00D92581">
      <w:pPr>
        <w:spacing w:line="400" w:lineRule="exac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CETA常设投资法院机制研究及对中国启示</w:t>
      </w:r>
    </w:p>
    <w:p w:rsidR="009A420F" w:rsidRPr="00D46BE8" w:rsidRDefault="009A420F" w:rsidP="00BE0460">
      <w:pPr>
        <w:pStyle w:val="1"/>
        <w:spacing w:line="400" w:lineRule="exact"/>
        <w:ind w:firstLineChars="100" w:firstLine="241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>赖奕曲              厦门大学</w:t>
      </w:r>
    </w:p>
    <w:p w:rsidR="009A420F" w:rsidRPr="00D46BE8" w:rsidRDefault="009A420F" w:rsidP="00D92581">
      <w:pPr>
        <w:spacing w:line="400" w:lineRule="exact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欧盟外资安全审查制度改革新动向及启示</w:t>
      </w:r>
    </w:p>
    <w:p w:rsidR="009A420F" w:rsidRPr="00D46BE8" w:rsidRDefault="009A420F" w:rsidP="00D92581">
      <w:pPr>
        <w:spacing w:line="400" w:lineRule="exac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</w:t>
      </w:r>
      <w:r w:rsidR="005D6744" w:rsidRPr="005D6744">
        <w:rPr>
          <w:rFonts w:ascii="仿宋" w:eastAsia="仿宋" w:hAnsi="仿宋" w:cs="仿宋"/>
          <w:b/>
          <w:sz w:val="24"/>
        </w:rPr>
        <w:t>杨帅、张俊玲</w:t>
      </w:r>
      <w:r w:rsidRPr="00D46BE8">
        <w:rPr>
          <w:rFonts w:ascii="仿宋" w:eastAsia="仿宋" w:hAnsi="仿宋" w:cs="仿宋"/>
          <w:b/>
          <w:sz w:val="24"/>
        </w:rPr>
        <w:t xml:space="preserve">              上海对外经贸大学</w:t>
      </w:r>
    </w:p>
    <w:p w:rsidR="009A420F" w:rsidRPr="00D46BE8" w:rsidRDefault="009A420F" w:rsidP="00D92581">
      <w:pPr>
        <w:pStyle w:val="1"/>
        <w:spacing w:line="400" w:lineRule="exact"/>
        <w:jc w:val="left"/>
        <w:rPr>
          <w:rFonts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lastRenderedPageBreak/>
        <w:t>欧盟投资法庭建设</w:t>
      </w:r>
      <w:proofErr w:type="gramStart"/>
      <w:r w:rsidRPr="00D46BE8">
        <w:rPr>
          <w:rFonts w:ascii="仿宋" w:eastAsia="仿宋" w:hAnsi="仿宋" w:cs="仿宋"/>
          <w:b/>
          <w:bCs/>
          <w:sz w:val="24"/>
          <w:szCs w:val="24"/>
        </w:rPr>
        <w:t>—及其</w:t>
      </w:r>
      <w:proofErr w:type="gramEnd"/>
      <w:r w:rsidRPr="00D46BE8">
        <w:rPr>
          <w:rFonts w:ascii="仿宋" w:eastAsia="仿宋" w:hAnsi="仿宋" w:cs="仿宋"/>
          <w:b/>
          <w:bCs/>
          <w:sz w:val="24"/>
          <w:szCs w:val="24"/>
        </w:rPr>
        <w:t>在“一带一路”语境下对我国的启示</w:t>
      </w:r>
    </w:p>
    <w:p w:rsidR="009A420F" w:rsidRPr="00D46BE8" w:rsidRDefault="009A420F" w:rsidP="006D4E46">
      <w:pPr>
        <w:pStyle w:val="1"/>
        <w:spacing w:line="400" w:lineRule="exact"/>
        <w:ind w:firstLineChars="98" w:firstLine="236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>苏</w:t>
      </w:r>
      <w:r w:rsidR="006D4E46">
        <w:rPr>
          <w:rFonts w:ascii="仿宋" w:eastAsia="仿宋" w:hAnsi="仿宋" w:cs="仿宋"/>
          <w:b/>
          <w:sz w:val="24"/>
        </w:rPr>
        <w:t xml:space="preserve">  </w:t>
      </w:r>
      <w:proofErr w:type="gramStart"/>
      <w:r w:rsidRPr="00D46BE8">
        <w:rPr>
          <w:rFonts w:ascii="仿宋" w:eastAsia="仿宋" w:hAnsi="仿宋" w:cs="仿宋"/>
          <w:b/>
          <w:sz w:val="24"/>
        </w:rPr>
        <w:t>一</w:t>
      </w:r>
      <w:proofErr w:type="gramEnd"/>
      <w:r w:rsidRPr="00D46BE8">
        <w:rPr>
          <w:rFonts w:ascii="仿宋" w:eastAsia="仿宋" w:hAnsi="仿宋" w:cs="仿宋"/>
          <w:b/>
          <w:sz w:val="24"/>
        </w:rPr>
        <w:t xml:space="preserve">              山东大学</w:t>
      </w:r>
    </w:p>
    <w:p w:rsidR="009A420F" w:rsidRPr="00D46BE8" w:rsidRDefault="009A420F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知识产权判决承认与执行效力的理论逻辑与规则完善</w:t>
      </w:r>
    </w:p>
    <w:p w:rsidR="009A420F" w:rsidRPr="00D46BE8" w:rsidRDefault="009A420F">
      <w:pPr>
        <w:pStyle w:val="1"/>
        <w:spacing w:line="400" w:lineRule="atLeast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周</w:t>
      </w:r>
      <w:r w:rsidR="00847632">
        <w:rPr>
          <w:rFonts w:ascii="仿宋" w:eastAsia="仿宋" w:hAnsi="仿宋" w:cs="仿宋"/>
          <w:b/>
          <w:sz w:val="24"/>
        </w:rPr>
        <w:t xml:space="preserve">  </w:t>
      </w:r>
      <w:r w:rsidRPr="00D46BE8">
        <w:rPr>
          <w:rFonts w:ascii="仿宋" w:eastAsia="仿宋" w:hAnsi="仿宋" w:cs="仿宋"/>
          <w:b/>
          <w:sz w:val="24"/>
        </w:rPr>
        <w:t>童              中南</w:t>
      </w:r>
      <w:proofErr w:type="gramStart"/>
      <w:r w:rsidRPr="00D46BE8">
        <w:rPr>
          <w:rFonts w:ascii="仿宋" w:eastAsia="仿宋" w:hAnsi="仿宋" w:cs="仿宋"/>
          <w:b/>
          <w:sz w:val="24"/>
        </w:rPr>
        <w:t>财经政法</w:t>
      </w:r>
      <w:proofErr w:type="gramEnd"/>
      <w:r w:rsidRPr="00D46BE8">
        <w:rPr>
          <w:rFonts w:ascii="仿宋" w:eastAsia="仿宋" w:hAnsi="仿宋" w:cs="仿宋"/>
          <w:b/>
          <w:sz w:val="24"/>
        </w:rPr>
        <w:t xml:space="preserve">大学 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>国际投资仲裁上诉机制研究 ——以《北仲投资仲裁规则》为例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林健、董鉴泉        对外经济贸易大学</w:t>
      </w:r>
    </w:p>
    <w:p w:rsidR="009A420F" w:rsidRPr="00D46BE8" w:rsidRDefault="009A420F">
      <w:pPr>
        <w:pStyle w:val="2"/>
        <w:rPr>
          <w:rFonts w:ascii="仿宋" w:eastAsia="仿宋" w:hAnsi="仿宋" w:hint="default"/>
          <w:sz w:val="24"/>
        </w:rPr>
      </w:pPr>
      <w:r w:rsidRPr="00D46BE8">
        <w:rPr>
          <w:rFonts w:ascii="仿宋" w:eastAsia="仿宋" w:hAnsi="仿宋"/>
          <w:bCs/>
          <w:szCs w:val="22"/>
          <w:shd w:val="clear" w:color="auto" w:fill="C6D9F0"/>
        </w:rPr>
        <w:t xml:space="preserve">优   秀  奖                                                 </w:t>
      </w:r>
    </w:p>
    <w:p w:rsidR="000644F6" w:rsidRPr="00D46BE8" w:rsidRDefault="000644F6" w:rsidP="00692A77">
      <w:pPr>
        <w:spacing w:beforeLines="50" w:before="156"/>
        <w:jc w:val="left"/>
        <w:rPr>
          <w:rFonts w:ascii="仿宋" w:eastAsia="仿宋" w:hAnsi="仿宋" w:cs="仿宋" w:hint="default"/>
          <w:b/>
          <w:sz w:val="24"/>
          <w:szCs w:val="24"/>
        </w:rPr>
      </w:pPr>
      <w:r w:rsidRPr="00D46BE8">
        <w:rPr>
          <w:rFonts w:ascii="仿宋" w:eastAsia="仿宋" w:hAnsi="仿宋" w:cs="仿宋"/>
          <w:b/>
          <w:sz w:val="24"/>
          <w:szCs w:val="24"/>
        </w:rPr>
        <w:t>证券市场网络风险法律规制研究</w:t>
      </w:r>
    </w:p>
    <w:p w:rsidR="000644F6" w:rsidRPr="00D46BE8" w:rsidRDefault="000644F6" w:rsidP="00692A77">
      <w:pPr>
        <w:spacing w:beforeLines="50" w:before="156"/>
        <w:ind w:firstLineChars="98" w:firstLine="236"/>
        <w:jc w:val="left"/>
        <w:rPr>
          <w:rFonts w:ascii="仿宋" w:eastAsia="仿宋" w:hAnsi="仿宋" w:cs="仿宋" w:hint="default"/>
          <w:b/>
          <w:sz w:val="24"/>
          <w:szCs w:val="24"/>
        </w:rPr>
      </w:pPr>
      <w:r w:rsidRPr="00D46BE8">
        <w:rPr>
          <w:rFonts w:ascii="仿宋" w:eastAsia="仿宋" w:hAnsi="仿宋"/>
          <w:b/>
          <w:sz w:val="24"/>
          <w:szCs w:val="24"/>
        </w:rPr>
        <w:t>周</w:t>
      </w:r>
      <w:r w:rsidR="00847632">
        <w:rPr>
          <w:rFonts w:ascii="仿宋" w:eastAsia="仿宋" w:hAnsi="仿宋"/>
          <w:b/>
          <w:sz w:val="24"/>
          <w:szCs w:val="24"/>
        </w:rPr>
        <w:t xml:space="preserve">  </w:t>
      </w:r>
      <w:r w:rsidRPr="00D46BE8">
        <w:rPr>
          <w:rFonts w:ascii="仿宋" w:eastAsia="仿宋" w:hAnsi="仿宋"/>
          <w:b/>
          <w:sz w:val="24"/>
          <w:szCs w:val="24"/>
        </w:rPr>
        <w:t xml:space="preserve">聖            </w:t>
      </w:r>
      <w:r w:rsidR="00FD062F">
        <w:rPr>
          <w:rFonts w:ascii="仿宋" w:eastAsia="仿宋" w:hAnsi="仿宋"/>
          <w:b/>
          <w:sz w:val="24"/>
          <w:szCs w:val="24"/>
        </w:rPr>
        <w:t xml:space="preserve">  </w:t>
      </w:r>
      <w:r w:rsidRPr="00D46BE8">
        <w:rPr>
          <w:rFonts w:ascii="仿宋" w:eastAsia="仿宋" w:hAnsi="仿宋"/>
          <w:b/>
          <w:sz w:val="24"/>
          <w:szCs w:val="24"/>
        </w:rPr>
        <w:t>厦门大学</w:t>
      </w:r>
    </w:p>
    <w:p w:rsidR="008E0035" w:rsidRPr="00D46BE8" w:rsidRDefault="008E0035" w:rsidP="00692A77">
      <w:pPr>
        <w:spacing w:beforeLines="50" w:before="156"/>
        <w:jc w:val="left"/>
        <w:rPr>
          <w:rFonts w:ascii="仿宋" w:eastAsia="仿宋" w:hAnsi="仿宋" w:cs="仿宋" w:hint="default"/>
          <w:b/>
          <w:sz w:val="24"/>
          <w:szCs w:val="24"/>
        </w:rPr>
      </w:pPr>
      <w:r w:rsidRPr="00D46BE8">
        <w:rPr>
          <w:rFonts w:ascii="仿宋" w:eastAsia="仿宋" w:hAnsi="仿宋" w:cs="仿宋"/>
          <w:b/>
          <w:sz w:val="24"/>
          <w:szCs w:val="24"/>
        </w:rPr>
        <w:t>超越属地主义：已撤销仲裁裁决的承认与执行</w:t>
      </w:r>
    </w:p>
    <w:p w:rsidR="008E0035" w:rsidRPr="00D46BE8" w:rsidRDefault="008E0035" w:rsidP="00692A77">
      <w:pPr>
        <w:spacing w:beforeLines="50" w:before="156"/>
        <w:ind w:firstLineChars="98" w:firstLine="236"/>
        <w:jc w:val="left"/>
        <w:rPr>
          <w:rFonts w:ascii="仿宋" w:eastAsia="仿宋" w:hAnsi="仿宋" w:cs="仿宋" w:hint="default"/>
          <w:b/>
          <w:sz w:val="24"/>
          <w:szCs w:val="24"/>
        </w:rPr>
      </w:pPr>
      <w:proofErr w:type="gramStart"/>
      <w:r w:rsidRPr="00D46BE8">
        <w:rPr>
          <w:rFonts w:ascii="仿宋" w:eastAsia="仿宋" w:hAnsi="仿宋"/>
          <w:b/>
          <w:sz w:val="24"/>
          <w:szCs w:val="24"/>
        </w:rPr>
        <w:t>桑远棵</w:t>
      </w:r>
      <w:proofErr w:type="gramEnd"/>
      <w:r w:rsidRPr="00D46BE8">
        <w:rPr>
          <w:rFonts w:ascii="仿宋" w:eastAsia="仿宋" w:hAnsi="仿宋"/>
          <w:b/>
          <w:sz w:val="24"/>
          <w:szCs w:val="24"/>
        </w:rPr>
        <w:t xml:space="preserve">              武汉大学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美国农业保险补贴政策调整适应《农业协定》“黄箱”规则的经验及借鉴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孙文</w:t>
      </w:r>
      <w:proofErr w:type="gramStart"/>
      <w:r w:rsidRPr="00D46BE8">
        <w:rPr>
          <w:rFonts w:ascii="仿宋" w:eastAsia="仿宋" w:hAnsi="仿宋" w:cs="仿宋"/>
          <w:b/>
          <w:sz w:val="24"/>
        </w:rPr>
        <w:t>珂</w:t>
      </w:r>
      <w:proofErr w:type="gramEnd"/>
      <w:r w:rsidRPr="00D46BE8">
        <w:rPr>
          <w:rFonts w:ascii="仿宋" w:eastAsia="仿宋" w:hAnsi="仿宋" w:cs="仿宋"/>
          <w:b/>
          <w:sz w:val="24"/>
        </w:rPr>
        <w:t xml:space="preserve">              南京师范大学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论CETA下ISDS机制改革与中国的借鉴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 xml:space="preserve">  王华倩              同济大学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国家管辖范围外区域海洋遗传资源惠益分享问题研究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 xml:space="preserve">  李绮薇              上海对外经贸大学</w:t>
      </w:r>
    </w:p>
    <w:p w:rsidR="008E0035" w:rsidRPr="00D46BE8" w:rsidRDefault="008E0035" w:rsidP="00692A77">
      <w:pPr>
        <w:spacing w:beforeLines="50" w:before="156"/>
        <w:jc w:val="left"/>
        <w:rPr>
          <w:rFonts w:ascii="仿宋" w:eastAsia="仿宋" w:hAnsi="仿宋" w:cs="仿宋" w:hint="default"/>
          <w:b/>
          <w:sz w:val="24"/>
          <w:szCs w:val="24"/>
        </w:rPr>
      </w:pPr>
      <w:r w:rsidRPr="00D46BE8">
        <w:rPr>
          <w:rFonts w:ascii="仿宋" w:eastAsia="仿宋" w:hAnsi="仿宋" w:cs="仿宋"/>
          <w:b/>
          <w:sz w:val="24"/>
          <w:szCs w:val="24"/>
        </w:rPr>
        <w:t>论条约冲突对“善意取得”的类比</w:t>
      </w:r>
    </w:p>
    <w:p w:rsidR="008E0035" w:rsidRPr="00D46BE8" w:rsidRDefault="008E0035" w:rsidP="00692A77">
      <w:pPr>
        <w:spacing w:beforeLines="50" w:before="156"/>
        <w:ind w:firstLineChars="98" w:firstLine="236"/>
        <w:jc w:val="left"/>
        <w:rPr>
          <w:rFonts w:ascii="仿宋" w:eastAsia="仿宋" w:hAnsi="仿宋" w:cs="仿宋" w:hint="default"/>
          <w:b/>
          <w:sz w:val="24"/>
          <w:szCs w:val="24"/>
        </w:rPr>
      </w:pPr>
      <w:r w:rsidRPr="00D46BE8">
        <w:rPr>
          <w:rFonts w:ascii="仿宋" w:eastAsia="仿宋" w:hAnsi="仿宋"/>
          <w:b/>
          <w:sz w:val="24"/>
          <w:szCs w:val="24"/>
        </w:rPr>
        <w:t>方瑞安              华东政法大学</w:t>
      </w:r>
    </w:p>
    <w:p w:rsidR="00F504EC" w:rsidRPr="00D46BE8" w:rsidRDefault="00F504EC" w:rsidP="00692A77">
      <w:pPr>
        <w:spacing w:beforeLines="50" w:before="156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互联网+时代下的仲裁：网上仲裁法律问题探究</w:t>
      </w:r>
    </w:p>
    <w:p w:rsidR="00F504EC" w:rsidRPr="00D46BE8" w:rsidRDefault="00F504EC" w:rsidP="00692A77">
      <w:pPr>
        <w:spacing w:beforeLines="50" w:before="156"/>
        <w:jc w:val="left"/>
        <w:rPr>
          <w:rFonts w:ascii="仿宋" w:eastAsia="仿宋" w:hAnsi="仿宋" w:cs="仿宋" w:hint="default"/>
          <w:b/>
          <w:bCs/>
          <w:sz w:val="24"/>
          <w:szCs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 xml:space="preserve">  </w:t>
      </w:r>
      <w:proofErr w:type="gramStart"/>
      <w:r w:rsidRPr="00D46BE8">
        <w:rPr>
          <w:rFonts w:ascii="仿宋" w:eastAsia="仿宋" w:hAnsi="仿宋" w:cs="仿宋"/>
          <w:b/>
          <w:bCs/>
          <w:sz w:val="24"/>
          <w:szCs w:val="24"/>
        </w:rPr>
        <w:t>曹艺邻</w:t>
      </w:r>
      <w:proofErr w:type="gramEnd"/>
      <w:r w:rsidRPr="00D46BE8">
        <w:rPr>
          <w:rFonts w:ascii="仿宋" w:eastAsia="仿宋" w:hAnsi="仿宋" w:cs="仿宋"/>
          <w:b/>
          <w:bCs/>
          <w:sz w:val="24"/>
          <w:szCs w:val="24"/>
        </w:rPr>
        <w:t xml:space="preserve">              上海政法学院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bCs/>
          <w:sz w:val="24"/>
          <w:szCs w:val="24"/>
        </w:rPr>
        <w:t>论人权公约专家委员会的运行与挑战-以个人来文机制为重点</w:t>
      </w:r>
    </w:p>
    <w:p w:rsidR="009A420F" w:rsidRPr="00D46BE8" w:rsidRDefault="009A420F" w:rsidP="00692A77">
      <w:pPr>
        <w:spacing w:beforeLines="50" w:before="156"/>
        <w:jc w:val="left"/>
        <w:rPr>
          <w:rFonts w:ascii="仿宋" w:eastAsia="仿宋" w:hAnsi="仿宋" w:cs="仿宋" w:hint="default"/>
          <w:b/>
          <w:sz w:val="24"/>
        </w:rPr>
      </w:pPr>
      <w:r w:rsidRPr="00D46BE8">
        <w:rPr>
          <w:rFonts w:ascii="仿宋" w:eastAsia="仿宋" w:hAnsi="仿宋" w:cs="仿宋"/>
          <w:b/>
          <w:sz w:val="24"/>
        </w:rPr>
        <w:t xml:space="preserve">  孙安艺、王达坡      </w:t>
      </w:r>
      <w:proofErr w:type="gramStart"/>
      <w:r w:rsidRPr="00D46BE8">
        <w:rPr>
          <w:rFonts w:ascii="仿宋" w:eastAsia="仿宋" w:hAnsi="仿宋" w:cs="仿宋"/>
          <w:b/>
          <w:sz w:val="24"/>
        </w:rPr>
        <w:t>莱</w:t>
      </w:r>
      <w:proofErr w:type="gramEnd"/>
      <w:r w:rsidRPr="00D46BE8">
        <w:rPr>
          <w:rFonts w:ascii="仿宋" w:eastAsia="仿宋" w:hAnsi="仿宋" w:cs="仿宋"/>
          <w:b/>
          <w:sz w:val="24"/>
        </w:rPr>
        <w:t>顿大学</w:t>
      </w:r>
    </w:p>
    <w:p w:rsidR="009A420F" w:rsidRPr="00D46BE8" w:rsidRDefault="00BC6500" w:rsidP="00692A77">
      <w:pPr>
        <w:spacing w:beforeLines="50" w:before="156"/>
        <w:jc w:val="left"/>
        <w:rPr>
          <w:rFonts w:ascii="仿宋" w:eastAsia="仿宋" w:hAnsi="仿宋" w:cs="仿宋" w:hint="default"/>
          <w:b/>
          <w:sz w:val="24"/>
          <w:szCs w:val="24"/>
        </w:rPr>
      </w:pPr>
      <w:r w:rsidRPr="00D46BE8">
        <w:rPr>
          <w:rFonts w:ascii="仿宋" w:eastAsia="仿宋" w:hAnsi="仿宋" w:cs="仿宋"/>
          <w:b/>
          <w:sz w:val="24"/>
          <w:szCs w:val="24"/>
        </w:rPr>
        <w:t>国际金融市场分割：概念、影响及治理</w:t>
      </w:r>
    </w:p>
    <w:p w:rsidR="009A420F" w:rsidRPr="00D46BE8" w:rsidRDefault="009A420F" w:rsidP="00692A77">
      <w:pPr>
        <w:spacing w:beforeLines="50" w:before="156"/>
        <w:ind w:firstLineChars="98" w:firstLine="236"/>
        <w:jc w:val="left"/>
        <w:rPr>
          <w:rFonts w:ascii="仿宋" w:eastAsia="仿宋" w:hAnsi="仿宋" w:cs="仿宋" w:hint="default"/>
          <w:b/>
          <w:sz w:val="24"/>
          <w:szCs w:val="24"/>
        </w:rPr>
      </w:pPr>
      <w:r w:rsidRPr="00D46BE8">
        <w:rPr>
          <w:rFonts w:ascii="仿宋" w:eastAsia="仿宋" w:hAnsi="仿宋"/>
          <w:b/>
          <w:sz w:val="24"/>
          <w:szCs w:val="24"/>
        </w:rPr>
        <w:t>杨</w:t>
      </w:r>
      <w:r w:rsidR="00532253">
        <w:rPr>
          <w:rFonts w:ascii="仿宋" w:eastAsia="仿宋" w:hAnsi="仿宋"/>
          <w:b/>
          <w:sz w:val="24"/>
          <w:szCs w:val="24"/>
        </w:rPr>
        <w:t xml:space="preserve">  </w:t>
      </w:r>
      <w:proofErr w:type="gramStart"/>
      <w:r w:rsidRPr="00D46BE8">
        <w:rPr>
          <w:rFonts w:ascii="仿宋" w:eastAsia="仿宋" w:hAnsi="仿宋"/>
          <w:b/>
          <w:sz w:val="24"/>
          <w:szCs w:val="24"/>
        </w:rPr>
        <w:t>凌</w:t>
      </w:r>
      <w:proofErr w:type="gramEnd"/>
      <w:r w:rsidRPr="00D46BE8">
        <w:rPr>
          <w:rFonts w:ascii="仿宋" w:eastAsia="仿宋" w:hAnsi="仿宋"/>
          <w:b/>
          <w:sz w:val="24"/>
          <w:szCs w:val="24"/>
        </w:rPr>
        <w:t xml:space="preserve">              武汉大学</w:t>
      </w:r>
    </w:p>
    <w:p w:rsidR="008E0035" w:rsidRPr="00D46BE8" w:rsidRDefault="008E0035" w:rsidP="00692A77">
      <w:pPr>
        <w:spacing w:beforeLines="50" w:before="156"/>
        <w:jc w:val="left"/>
        <w:rPr>
          <w:rFonts w:ascii="仿宋" w:eastAsia="仿宋" w:hAnsi="仿宋" w:cs="仿宋" w:hint="default"/>
          <w:b/>
          <w:sz w:val="24"/>
          <w:szCs w:val="24"/>
        </w:rPr>
      </w:pPr>
      <w:r w:rsidRPr="00D46BE8">
        <w:rPr>
          <w:rFonts w:ascii="仿宋" w:eastAsia="仿宋" w:hAnsi="仿宋" w:cs="仿宋"/>
          <w:b/>
          <w:sz w:val="24"/>
          <w:szCs w:val="24"/>
        </w:rPr>
        <w:t>独立保函的适用争点与判别兼评最高人民法院独立保函司法解释</w:t>
      </w:r>
    </w:p>
    <w:p w:rsidR="009A420F" w:rsidRPr="00D46BE8" w:rsidRDefault="008E0035" w:rsidP="005D6744">
      <w:pPr>
        <w:spacing w:beforeLines="50" w:before="156"/>
        <w:ind w:firstLineChars="98" w:firstLine="236"/>
        <w:jc w:val="left"/>
        <w:rPr>
          <w:rFonts w:hint="default"/>
        </w:rPr>
      </w:pPr>
      <w:r w:rsidRPr="00D46BE8">
        <w:rPr>
          <w:rFonts w:ascii="仿宋" w:eastAsia="仿宋" w:hAnsi="仿宋"/>
          <w:b/>
          <w:sz w:val="24"/>
          <w:szCs w:val="24"/>
        </w:rPr>
        <w:t>梁汪洋              上海财经大学</w:t>
      </w:r>
    </w:p>
    <w:sectPr w:rsidR="009A420F" w:rsidRPr="00D46BE8" w:rsidSect="005951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276" w:header="851" w:footer="992" w:gutter="0"/>
      <w:pgNumType w:start="1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966" w:rsidRDefault="005E1966">
      <w:pPr>
        <w:rPr>
          <w:rFonts w:hint="default"/>
        </w:rPr>
      </w:pPr>
      <w:r>
        <w:separator/>
      </w:r>
    </w:p>
  </w:endnote>
  <w:endnote w:type="continuationSeparator" w:id="0">
    <w:p w:rsidR="005E1966" w:rsidRDefault="005E196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汉仪综艺体简">
    <w:altName w:val="宋体"/>
    <w:charset w:val="86"/>
    <w:family w:val="modern"/>
    <w:pitch w:val="default"/>
    <w:sig w:usb0="00000000" w:usb1="00000000" w:usb2="00000012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729" w:rsidRDefault="009127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20F" w:rsidRDefault="0016751B">
    <w:pPr>
      <w:pStyle w:val="a9"/>
      <w:jc w:val="center"/>
    </w:pPr>
    <w:r>
      <w:fldChar w:fldCharType="begin"/>
    </w:r>
    <w:r w:rsidR="00683471">
      <w:instrText xml:space="preserve"> PAGE   \* MERGEFORMAT </w:instrText>
    </w:r>
    <w:r>
      <w:fldChar w:fldCharType="separate"/>
    </w:r>
    <w:r w:rsidR="00692A77" w:rsidRPr="00692A77">
      <w:rPr>
        <w:noProof/>
        <w:lang w:val="zh-CN"/>
      </w:rPr>
      <w:t>6</w:t>
    </w:r>
    <w:r>
      <w:rPr>
        <w:noProof/>
        <w:lang w:val="zh-CN"/>
      </w:rPr>
      <w:fldChar w:fldCharType="end"/>
    </w:r>
  </w:p>
  <w:p w:rsidR="009A420F" w:rsidRDefault="009A420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729" w:rsidRDefault="009127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966" w:rsidRDefault="005E1966">
      <w:pPr>
        <w:rPr>
          <w:rFonts w:hint="default"/>
        </w:rPr>
      </w:pPr>
      <w:r>
        <w:separator/>
      </w:r>
    </w:p>
  </w:footnote>
  <w:footnote w:type="continuationSeparator" w:id="0">
    <w:p w:rsidR="005E1966" w:rsidRDefault="005E1966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20F" w:rsidRDefault="00912729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58200" cy="4838700"/>
          <wp:effectExtent l="19050" t="0" r="0" b="0"/>
          <wp:wrapNone/>
          <wp:docPr id="1" name="图片 1" descr="6_12052800574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6_120528005745_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0" cy="483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273040"/>
          <wp:effectExtent l="19050" t="0" r="3810" b="0"/>
          <wp:wrapNone/>
          <wp:docPr id="5" name="图片 5" descr="01300000209541122942520812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01300000209541122942520812370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5273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729" w:rsidRDefault="009127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420F" w:rsidRDefault="00912729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458200" cy="4838700"/>
          <wp:effectExtent l="19050" t="0" r="0" b="0"/>
          <wp:wrapNone/>
          <wp:docPr id="7" name="图片 7" descr="6_12052800574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 descr="6_120528005745_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0" cy="483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273040"/>
          <wp:effectExtent l="19050" t="0" r="3810" b="0"/>
          <wp:wrapNone/>
          <wp:docPr id="8" name="图片 8" descr="01300000209541122942520812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8" descr="01300000209541122942520812370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5273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042555A"/>
    <w:multiLevelType w:val="singleLevel"/>
    <w:tmpl w:val="9042555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3BF3A61"/>
    <w:multiLevelType w:val="multilevel"/>
    <w:tmpl w:val="13BF3A61"/>
    <w:lvl w:ilvl="0">
      <w:start w:val="1"/>
      <w:numFmt w:val="decimal"/>
      <w:lvlText w:val="（%1）"/>
      <w:lvlJc w:val="left"/>
      <w:pPr>
        <w:ind w:left="1081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201" w:hanging="420"/>
      </w:pPr>
    </w:lvl>
    <w:lvl w:ilvl="2">
      <w:start w:val="1"/>
      <w:numFmt w:val="lowerRoman"/>
      <w:lvlText w:val="%3."/>
      <w:lvlJc w:val="right"/>
      <w:pPr>
        <w:ind w:left="1621" w:hanging="420"/>
      </w:pPr>
    </w:lvl>
    <w:lvl w:ilvl="3">
      <w:start w:val="1"/>
      <w:numFmt w:val="decimal"/>
      <w:lvlText w:val="%4."/>
      <w:lvlJc w:val="left"/>
      <w:pPr>
        <w:ind w:left="2041" w:hanging="420"/>
      </w:pPr>
    </w:lvl>
    <w:lvl w:ilvl="4">
      <w:start w:val="1"/>
      <w:numFmt w:val="lowerLetter"/>
      <w:lvlText w:val="%5)"/>
      <w:lvlJc w:val="left"/>
      <w:pPr>
        <w:ind w:left="2461" w:hanging="420"/>
      </w:pPr>
    </w:lvl>
    <w:lvl w:ilvl="5">
      <w:start w:val="1"/>
      <w:numFmt w:val="lowerRoman"/>
      <w:lvlText w:val="%6."/>
      <w:lvlJc w:val="right"/>
      <w:pPr>
        <w:ind w:left="2881" w:hanging="420"/>
      </w:pPr>
    </w:lvl>
    <w:lvl w:ilvl="6">
      <w:start w:val="1"/>
      <w:numFmt w:val="decimal"/>
      <w:lvlText w:val="%7."/>
      <w:lvlJc w:val="left"/>
      <w:pPr>
        <w:ind w:left="3301" w:hanging="420"/>
      </w:pPr>
    </w:lvl>
    <w:lvl w:ilvl="7">
      <w:start w:val="1"/>
      <w:numFmt w:val="lowerLetter"/>
      <w:lvlText w:val="%8)"/>
      <w:lvlJc w:val="left"/>
      <w:pPr>
        <w:ind w:left="3721" w:hanging="420"/>
      </w:pPr>
    </w:lvl>
    <w:lvl w:ilvl="8">
      <w:start w:val="1"/>
      <w:numFmt w:val="lowerRoman"/>
      <w:lvlText w:val="%9."/>
      <w:lvlJc w:val="right"/>
      <w:pPr>
        <w:ind w:left="4141" w:hanging="420"/>
      </w:pPr>
    </w:lvl>
  </w:abstractNum>
  <w:abstractNum w:abstractNumId="2" w15:restartNumberingAfterBreak="0">
    <w:nsid w:val="2D815D60"/>
    <w:multiLevelType w:val="multilevel"/>
    <w:tmpl w:val="2D815D6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135"/>
    <w:rsid w:val="0001268E"/>
    <w:rsid w:val="0002222C"/>
    <w:rsid w:val="000269C5"/>
    <w:rsid w:val="00027797"/>
    <w:rsid w:val="00027851"/>
    <w:rsid w:val="00061211"/>
    <w:rsid w:val="000632BB"/>
    <w:rsid w:val="000644F6"/>
    <w:rsid w:val="00091D1A"/>
    <w:rsid w:val="000A768F"/>
    <w:rsid w:val="000A7922"/>
    <w:rsid w:val="000C1722"/>
    <w:rsid w:val="000D3230"/>
    <w:rsid w:val="000F5CEF"/>
    <w:rsid w:val="000F700B"/>
    <w:rsid w:val="001069FA"/>
    <w:rsid w:val="00116687"/>
    <w:rsid w:val="00122085"/>
    <w:rsid w:val="00133B2E"/>
    <w:rsid w:val="00147172"/>
    <w:rsid w:val="00151006"/>
    <w:rsid w:val="00151827"/>
    <w:rsid w:val="00156C2A"/>
    <w:rsid w:val="00166E55"/>
    <w:rsid w:val="0016751B"/>
    <w:rsid w:val="00172A27"/>
    <w:rsid w:val="00182DA7"/>
    <w:rsid w:val="001970DE"/>
    <w:rsid w:val="001A2CFE"/>
    <w:rsid w:val="001A38E2"/>
    <w:rsid w:val="001A7119"/>
    <w:rsid w:val="001B5624"/>
    <w:rsid w:val="001C1598"/>
    <w:rsid w:val="001D2978"/>
    <w:rsid w:val="00203EB3"/>
    <w:rsid w:val="00204D70"/>
    <w:rsid w:val="0021647B"/>
    <w:rsid w:val="002244BB"/>
    <w:rsid w:val="00230853"/>
    <w:rsid w:val="00230B4A"/>
    <w:rsid w:val="00243884"/>
    <w:rsid w:val="00244FE0"/>
    <w:rsid w:val="0024677A"/>
    <w:rsid w:val="00250874"/>
    <w:rsid w:val="00264643"/>
    <w:rsid w:val="0027276B"/>
    <w:rsid w:val="00273E05"/>
    <w:rsid w:val="00290DA3"/>
    <w:rsid w:val="0029214E"/>
    <w:rsid w:val="00293994"/>
    <w:rsid w:val="002A1713"/>
    <w:rsid w:val="002B2C11"/>
    <w:rsid w:val="002B782E"/>
    <w:rsid w:val="002B7D34"/>
    <w:rsid w:val="002C5A67"/>
    <w:rsid w:val="002C72D5"/>
    <w:rsid w:val="002D202C"/>
    <w:rsid w:val="002D506B"/>
    <w:rsid w:val="002E5FE3"/>
    <w:rsid w:val="002F598B"/>
    <w:rsid w:val="00306D3A"/>
    <w:rsid w:val="003115AC"/>
    <w:rsid w:val="00311F14"/>
    <w:rsid w:val="00314F1D"/>
    <w:rsid w:val="00316737"/>
    <w:rsid w:val="00327E39"/>
    <w:rsid w:val="00332D01"/>
    <w:rsid w:val="00354EF0"/>
    <w:rsid w:val="00355949"/>
    <w:rsid w:val="0035775A"/>
    <w:rsid w:val="00360829"/>
    <w:rsid w:val="00384048"/>
    <w:rsid w:val="003865F3"/>
    <w:rsid w:val="003A2F23"/>
    <w:rsid w:val="003A4198"/>
    <w:rsid w:val="003A5FE6"/>
    <w:rsid w:val="003C4212"/>
    <w:rsid w:val="003D2110"/>
    <w:rsid w:val="003F524E"/>
    <w:rsid w:val="00407988"/>
    <w:rsid w:val="00412C32"/>
    <w:rsid w:val="004134EE"/>
    <w:rsid w:val="004172EA"/>
    <w:rsid w:val="004271A7"/>
    <w:rsid w:val="004315B6"/>
    <w:rsid w:val="0044244A"/>
    <w:rsid w:val="00442992"/>
    <w:rsid w:val="0044679F"/>
    <w:rsid w:val="004507E7"/>
    <w:rsid w:val="0045132E"/>
    <w:rsid w:val="00453382"/>
    <w:rsid w:val="00453FE5"/>
    <w:rsid w:val="004717AD"/>
    <w:rsid w:val="00471B8F"/>
    <w:rsid w:val="00476367"/>
    <w:rsid w:val="004812A3"/>
    <w:rsid w:val="00496492"/>
    <w:rsid w:val="004A0404"/>
    <w:rsid w:val="004A7B76"/>
    <w:rsid w:val="004B1332"/>
    <w:rsid w:val="004B1B17"/>
    <w:rsid w:val="004B5A71"/>
    <w:rsid w:val="004C1783"/>
    <w:rsid w:val="004C2243"/>
    <w:rsid w:val="004C482C"/>
    <w:rsid w:val="004D7491"/>
    <w:rsid w:val="004F2A8E"/>
    <w:rsid w:val="004F3FD0"/>
    <w:rsid w:val="004F56AD"/>
    <w:rsid w:val="0050297D"/>
    <w:rsid w:val="0051025A"/>
    <w:rsid w:val="00511067"/>
    <w:rsid w:val="00532253"/>
    <w:rsid w:val="00541F82"/>
    <w:rsid w:val="0055011B"/>
    <w:rsid w:val="00553E80"/>
    <w:rsid w:val="00570399"/>
    <w:rsid w:val="005731FE"/>
    <w:rsid w:val="005940C2"/>
    <w:rsid w:val="00595152"/>
    <w:rsid w:val="005A44C8"/>
    <w:rsid w:val="005A5DEB"/>
    <w:rsid w:val="005A7AC7"/>
    <w:rsid w:val="005C1BF3"/>
    <w:rsid w:val="005C4547"/>
    <w:rsid w:val="005D30A2"/>
    <w:rsid w:val="005D6744"/>
    <w:rsid w:val="005E1966"/>
    <w:rsid w:val="005F18AB"/>
    <w:rsid w:val="005F1D77"/>
    <w:rsid w:val="00612AF8"/>
    <w:rsid w:val="006168BC"/>
    <w:rsid w:val="00622FE3"/>
    <w:rsid w:val="006425FF"/>
    <w:rsid w:val="00655393"/>
    <w:rsid w:val="00655506"/>
    <w:rsid w:val="00665353"/>
    <w:rsid w:val="00665FEA"/>
    <w:rsid w:val="00675EA6"/>
    <w:rsid w:val="00683471"/>
    <w:rsid w:val="00692A77"/>
    <w:rsid w:val="006978FF"/>
    <w:rsid w:val="006B5E51"/>
    <w:rsid w:val="006D1DB0"/>
    <w:rsid w:val="006D2ABB"/>
    <w:rsid w:val="006D4E46"/>
    <w:rsid w:val="006F1110"/>
    <w:rsid w:val="00707437"/>
    <w:rsid w:val="0071077F"/>
    <w:rsid w:val="00711603"/>
    <w:rsid w:val="00730678"/>
    <w:rsid w:val="0073109B"/>
    <w:rsid w:val="00732F94"/>
    <w:rsid w:val="00733879"/>
    <w:rsid w:val="00742B52"/>
    <w:rsid w:val="00754D8D"/>
    <w:rsid w:val="00766FEE"/>
    <w:rsid w:val="00780524"/>
    <w:rsid w:val="007847FF"/>
    <w:rsid w:val="00786BF4"/>
    <w:rsid w:val="007919A3"/>
    <w:rsid w:val="00791FB4"/>
    <w:rsid w:val="00796AD4"/>
    <w:rsid w:val="007A1A00"/>
    <w:rsid w:val="007B4E77"/>
    <w:rsid w:val="007B4F0D"/>
    <w:rsid w:val="007D098E"/>
    <w:rsid w:val="007D6AE8"/>
    <w:rsid w:val="007D7E27"/>
    <w:rsid w:val="007E30FA"/>
    <w:rsid w:val="007E360B"/>
    <w:rsid w:val="007F3690"/>
    <w:rsid w:val="007F41BF"/>
    <w:rsid w:val="007F66C6"/>
    <w:rsid w:val="00804F4E"/>
    <w:rsid w:val="008109B3"/>
    <w:rsid w:val="008201C6"/>
    <w:rsid w:val="0084207A"/>
    <w:rsid w:val="0084381A"/>
    <w:rsid w:val="008459BA"/>
    <w:rsid w:val="00847632"/>
    <w:rsid w:val="0085175D"/>
    <w:rsid w:val="00860245"/>
    <w:rsid w:val="008801F9"/>
    <w:rsid w:val="00890794"/>
    <w:rsid w:val="00892B07"/>
    <w:rsid w:val="0089349E"/>
    <w:rsid w:val="008A37A5"/>
    <w:rsid w:val="008B6345"/>
    <w:rsid w:val="008C1150"/>
    <w:rsid w:val="008C2A6A"/>
    <w:rsid w:val="008C3648"/>
    <w:rsid w:val="008E0035"/>
    <w:rsid w:val="008F08DB"/>
    <w:rsid w:val="008F168D"/>
    <w:rsid w:val="00912729"/>
    <w:rsid w:val="00915942"/>
    <w:rsid w:val="00915A86"/>
    <w:rsid w:val="00920730"/>
    <w:rsid w:val="00921DCB"/>
    <w:rsid w:val="009255A3"/>
    <w:rsid w:val="009279FD"/>
    <w:rsid w:val="00927D2C"/>
    <w:rsid w:val="009471E3"/>
    <w:rsid w:val="009520CC"/>
    <w:rsid w:val="009557DE"/>
    <w:rsid w:val="00956934"/>
    <w:rsid w:val="00957243"/>
    <w:rsid w:val="00963536"/>
    <w:rsid w:val="00963FD6"/>
    <w:rsid w:val="00970459"/>
    <w:rsid w:val="00976C42"/>
    <w:rsid w:val="00987789"/>
    <w:rsid w:val="00991BA1"/>
    <w:rsid w:val="009A1255"/>
    <w:rsid w:val="009A1366"/>
    <w:rsid w:val="009A420F"/>
    <w:rsid w:val="009C25AC"/>
    <w:rsid w:val="009C37EE"/>
    <w:rsid w:val="009D3595"/>
    <w:rsid w:val="009D4BDB"/>
    <w:rsid w:val="00A0070F"/>
    <w:rsid w:val="00A1030B"/>
    <w:rsid w:val="00A40143"/>
    <w:rsid w:val="00A43573"/>
    <w:rsid w:val="00A472BA"/>
    <w:rsid w:val="00A60A19"/>
    <w:rsid w:val="00A61290"/>
    <w:rsid w:val="00A92796"/>
    <w:rsid w:val="00AA1786"/>
    <w:rsid w:val="00AA1BF4"/>
    <w:rsid w:val="00AA2E67"/>
    <w:rsid w:val="00AA69D5"/>
    <w:rsid w:val="00AB264B"/>
    <w:rsid w:val="00AB314E"/>
    <w:rsid w:val="00AC0002"/>
    <w:rsid w:val="00AC25AA"/>
    <w:rsid w:val="00AD172D"/>
    <w:rsid w:val="00AE3C1F"/>
    <w:rsid w:val="00AE6845"/>
    <w:rsid w:val="00AF0817"/>
    <w:rsid w:val="00AF1603"/>
    <w:rsid w:val="00AF71F4"/>
    <w:rsid w:val="00B05F0C"/>
    <w:rsid w:val="00B17B47"/>
    <w:rsid w:val="00B31CCA"/>
    <w:rsid w:val="00B37063"/>
    <w:rsid w:val="00B4398D"/>
    <w:rsid w:val="00B4528B"/>
    <w:rsid w:val="00B52D46"/>
    <w:rsid w:val="00B706A9"/>
    <w:rsid w:val="00B74C68"/>
    <w:rsid w:val="00B8584E"/>
    <w:rsid w:val="00B86351"/>
    <w:rsid w:val="00BA0AB4"/>
    <w:rsid w:val="00BA2C57"/>
    <w:rsid w:val="00BA7322"/>
    <w:rsid w:val="00BB5B10"/>
    <w:rsid w:val="00BB5D84"/>
    <w:rsid w:val="00BC15C4"/>
    <w:rsid w:val="00BC199D"/>
    <w:rsid w:val="00BC61C4"/>
    <w:rsid w:val="00BC6500"/>
    <w:rsid w:val="00BC70A6"/>
    <w:rsid w:val="00BC765C"/>
    <w:rsid w:val="00BD2DB7"/>
    <w:rsid w:val="00BE0460"/>
    <w:rsid w:val="00BF11DB"/>
    <w:rsid w:val="00BF2976"/>
    <w:rsid w:val="00BF32CF"/>
    <w:rsid w:val="00BF5E35"/>
    <w:rsid w:val="00C008F7"/>
    <w:rsid w:val="00C03E01"/>
    <w:rsid w:val="00C270F8"/>
    <w:rsid w:val="00C36365"/>
    <w:rsid w:val="00C41525"/>
    <w:rsid w:val="00C41D45"/>
    <w:rsid w:val="00C51369"/>
    <w:rsid w:val="00C51FBC"/>
    <w:rsid w:val="00C52479"/>
    <w:rsid w:val="00C84A00"/>
    <w:rsid w:val="00C85729"/>
    <w:rsid w:val="00C91B70"/>
    <w:rsid w:val="00CA4B16"/>
    <w:rsid w:val="00CA56D4"/>
    <w:rsid w:val="00CA68CC"/>
    <w:rsid w:val="00CB4596"/>
    <w:rsid w:val="00CC6009"/>
    <w:rsid w:val="00CD593A"/>
    <w:rsid w:val="00D06DE9"/>
    <w:rsid w:val="00D1783D"/>
    <w:rsid w:val="00D325F5"/>
    <w:rsid w:val="00D3406E"/>
    <w:rsid w:val="00D40E5F"/>
    <w:rsid w:val="00D43CAD"/>
    <w:rsid w:val="00D46BE8"/>
    <w:rsid w:val="00D613AA"/>
    <w:rsid w:val="00D651CF"/>
    <w:rsid w:val="00D752DE"/>
    <w:rsid w:val="00D767C4"/>
    <w:rsid w:val="00D80468"/>
    <w:rsid w:val="00D84DE2"/>
    <w:rsid w:val="00D84EB8"/>
    <w:rsid w:val="00D91B6C"/>
    <w:rsid w:val="00D92581"/>
    <w:rsid w:val="00D9629D"/>
    <w:rsid w:val="00D96C18"/>
    <w:rsid w:val="00D96DA8"/>
    <w:rsid w:val="00DB0653"/>
    <w:rsid w:val="00DB5ABD"/>
    <w:rsid w:val="00DB619D"/>
    <w:rsid w:val="00DC0B06"/>
    <w:rsid w:val="00DC1AA1"/>
    <w:rsid w:val="00DD3BD5"/>
    <w:rsid w:val="00DD6470"/>
    <w:rsid w:val="00DE1D2A"/>
    <w:rsid w:val="00DE64DE"/>
    <w:rsid w:val="00DF4449"/>
    <w:rsid w:val="00E027CD"/>
    <w:rsid w:val="00E050FD"/>
    <w:rsid w:val="00E075C4"/>
    <w:rsid w:val="00E079F1"/>
    <w:rsid w:val="00E32F65"/>
    <w:rsid w:val="00E45138"/>
    <w:rsid w:val="00E46D67"/>
    <w:rsid w:val="00E50150"/>
    <w:rsid w:val="00E512D8"/>
    <w:rsid w:val="00E563DC"/>
    <w:rsid w:val="00E56ABE"/>
    <w:rsid w:val="00E61F4E"/>
    <w:rsid w:val="00E73743"/>
    <w:rsid w:val="00E778AE"/>
    <w:rsid w:val="00E876F8"/>
    <w:rsid w:val="00EA1719"/>
    <w:rsid w:val="00EC2F3D"/>
    <w:rsid w:val="00EC3A6D"/>
    <w:rsid w:val="00EC65F1"/>
    <w:rsid w:val="00ED0C74"/>
    <w:rsid w:val="00ED734A"/>
    <w:rsid w:val="00EE3C88"/>
    <w:rsid w:val="00F0493E"/>
    <w:rsid w:val="00F15C42"/>
    <w:rsid w:val="00F20FB8"/>
    <w:rsid w:val="00F21CCA"/>
    <w:rsid w:val="00F23FA1"/>
    <w:rsid w:val="00F24764"/>
    <w:rsid w:val="00F37F35"/>
    <w:rsid w:val="00F43DC6"/>
    <w:rsid w:val="00F45401"/>
    <w:rsid w:val="00F504EC"/>
    <w:rsid w:val="00F51AF5"/>
    <w:rsid w:val="00F619D7"/>
    <w:rsid w:val="00F63292"/>
    <w:rsid w:val="00F63946"/>
    <w:rsid w:val="00F64179"/>
    <w:rsid w:val="00F747CB"/>
    <w:rsid w:val="00F81E1F"/>
    <w:rsid w:val="00F87C5F"/>
    <w:rsid w:val="00F94287"/>
    <w:rsid w:val="00FA7514"/>
    <w:rsid w:val="00FB45EC"/>
    <w:rsid w:val="00FB7063"/>
    <w:rsid w:val="00FC3BE9"/>
    <w:rsid w:val="00FD062F"/>
    <w:rsid w:val="00FD5C49"/>
    <w:rsid w:val="00FF3400"/>
    <w:rsid w:val="00FF4B1D"/>
    <w:rsid w:val="00FF560A"/>
    <w:rsid w:val="00FF7565"/>
    <w:rsid w:val="30192B8E"/>
    <w:rsid w:val="4E85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3B773"/>
  <w15:docId w15:val="{257E90C6-4354-4F51-B803-58F67893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1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152"/>
    <w:pPr>
      <w:widowControl w:val="0"/>
      <w:jc w:val="both"/>
    </w:pPr>
    <w:rPr>
      <w:rFonts w:ascii="Calibri" w:hAnsi="Calibri" w:hint="eastAsia"/>
      <w:kern w:val="2"/>
      <w:sz w:val="21"/>
    </w:rPr>
  </w:style>
  <w:style w:type="paragraph" w:styleId="2">
    <w:name w:val="heading 2"/>
    <w:basedOn w:val="a"/>
    <w:next w:val="a"/>
    <w:uiPriority w:val="9"/>
    <w:qFormat/>
    <w:rsid w:val="00595152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95152"/>
    <w:rPr>
      <w:rFonts w:ascii="Times New Roman" w:eastAsia="宋体" w:hAnsi="Times New Roman" w:cs="Times New Roman"/>
      <w:i/>
      <w:iCs/>
    </w:rPr>
  </w:style>
  <w:style w:type="character" w:customStyle="1" w:styleId="a4">
    <w:name w:val="页眉 字符"/>
    <w:link w:val="a5"/>
    <w:uiPriority w:val="99"/>
    <w:rsid w:val="00595152"/>
    <w:rPr>
      <w:rFonts w:ascii="Times New Roman" w:eastAsia="宋体" w:hAnsi="Times New Roman" w:cs="Times New Roman"/>
      <w:kern w:val="2"/>
      <w:sz w:val="18"/>
    </w:rPr>
  </w:style>
  <w:style w:type="character" w:customStyle="1" w:styleId="a6">
    <w:name w:val="批注框文本 字符"/>
    <w:link w:val="a7"/>
    <w:rsid w:val="00595152"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link w:val="a9"/>
    <w:uiPriority w:val="99"/>
    <w:rsid w:val="00595152"/>
    <w:rPr>
      <w:rFonts w:ascii="Times New Roman" w:eastAsia="宋体" w:hAnsi="Times New Roman" w:cs="Times New Roman" w:hint="default"/>
      <w:sz w:val="18"/>
    </w:rPr>
  </w:style>
  <w:style w:type="character" w:customStyle="1" w:styleId="aa">
    <w:name w:val="日期 字符"/>
    <w:link w:val="ab"/>
    <w:rsid w:val="00595152"/>
    <w:rPr>
      <w:rFonts w:ascii="华文楷体" w:eastAsia="华文楷体" w:hAnsi="华文楷体" w:cs="Times New Roman" w:hint="eastAsia"/>
      <w:b/>
      <w:sz w:val="21"/>
      <w:u w:val="single"/>
    </w:rPr>
  </w:style>
  <w:style w:type="paragraph" w:styleId="a5">
    <w:name w:val="header"/>
    <w:basedOn w:val="a"/>
    <w:link w:val="a4"/>
    <w:uiPriority w:val="99"/>
    <w:rsid w:val="0059515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 w:hint="default"/>
      <w:sz w:val="18"/>
    </w:rPr>
  </w:style>
  <w:style w:type="paragraph" w:styleId="a9">
    <w:name w:val="footer"/>
    <w:basedOn w:val="a"/>
    <w:link w:val="a8"/>
    <w:uiPriority w:val="99"/>
    <w:rsid w:val="00595152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hint="default"/>
      <w:kern w:val="0"/>
      <w:sz w:val="18"/>
    </w:rPr>
  </w:style>
  <w:style w:type="paragraph" w:styleId="ab">
    <w:name w:val="Date"/>
    <w:basedOn w:val="a"/>
    <w:next w:val="a"/>
    <w:link w:val="aa"/>
    <w:rsid w:val="00595152"/>
    <w:pPr>
      <w:ind w:leftChars="2500" w:left="100"/>
    </w:pPr>
    <w:rPr>
      <w:rFonts w:ascii="华文楷体" w:eastAsia="华文楷体" w:hAnsi="华文楷体"/>
      <w:b/>
      <w:kern w:val="0"/>
      <w:u w:val="single"/>
    </w:rPr>
  </w:style>
  <w:style w:type="paragraph" w:styleId="a7">
    <w:name w:val="Balloon Text"/>
    <w:basedOn w:val="a"/>
    <w:link w:val="a6"/>
    <w:rsid w:val="00595152"/>
    <w:rPr>
      <w:rFonts w:hint="default"/>
      <w:sz w:val="18"/>
      <w:szCs w:val="18"/>
    </w:rPr>
  </w:style>
  <w:style w:type="paragraph" w:customStyle="1" w:styleId="1">
    <w:name w:val="无间隔1"/>
    <w:uiPriority w:val="1"/>
    <w:qFormat/>
    <w:rsid w:val="00595152"/>
    <w:pPr>
      <w:widowControl w:val="0"/>
      <w:jc w:val="both"/>
    </w:pPr>
    <w:rPr>
      <w:rFonts w:ascii="Calibri" w:hAnsi="Calibri" w:hint="eastAsia"/>
      <w:kern w:val="2"/>
      <w:sz w:val="21"/>
    </w:rPr>
  </w:style>
  <w:style w:type="paragraph" w:customStyle="1" w:styleId="3">
    <w:name w:val="列出段落3"/>
    <w:basedOn w:val="a"/>
    <w:rsid w:val="00595152"/>
    <w:pPr>
      <w:ind w:firstLineChars="200" w:firstLine="420"/>
    </w:pPr>
    <w:rPr>
      <w:rFonts w:ascii="Times New Roman" w:hAnsi="Times New Roman"/>
    </w:rPr>
  </w:style>
  <w:style w:type="paragraph" w:customStyle="1" w:styleId="10">
    <w:name w:val="列出段落1"/>
    <w:basedOn w:val="a"/>
    <w:rsid w:val="00595152"/>
    <w:pPr>
      <w:ind w:firstLineChars="200" w:firstLine="420"/>
    </w:pPr>
    <w:rPr>
      <w:rFonts w:ascii="Times New Roman" w:hAnsi="Times New Roman"/>
    </w:rPr>
  </w:style>
  <w:style w:type="paragraph" w:customStyle="1" w:styleId="Default">
    <w:name w:val="Default"/>
    <w:rsid w:val="00595152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  <w:style w:type="paragraph" w:customStyle="1" w:styleId="20">
    <w:name w:val="列出段落2"/>
    <w:basedOn w:val="a"/>
    <w:rsid w:val="00595152"/>
    <w:pPr>
      <w:ind w:firstLineChars="200" w:firstLine="420"/>
    </w:pPr>
    <w:rPr>
      <w:rFonts w:ascii="Times New Roman" w:hAnsi="Times New Roman" w:hint="default"/>
      <w:szCs w:val="22"/>
    </w:rPr>
  </w:style>
  <w:style w:type="table" w:styleId="ac">
    <w:name w:val="Table Grid"/>
    <w:basedOn w:val="a1"/>
    <w:rsid w:val="00595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1"/>
    <w:semiHidden/>
    <w:unhideWhenUsed/>
    <w:rsid w:val="001B5624"/>
    <w:rPr>
      <w:sz w:val="21"/>
      <w:szCs w:val="21"/>
    </w:rPr>
  </w:style>
  <w:style w:type="paragraph" w:styleId="ae">
    <w:name w:val="annotation text"/>
    <w:basedOn w:val="a"/>
    <w:link w:val="af"/>
    <w:uiPriority w:val="1"/>
    <w:semiHidden/>
    <w:unhideWhenUsed/>
    <w:rsid w:val="001B5624"/>
    <w:pPr>
      <w:jc w:val="left"/>
    </w:pPr>
  </w:style>
  <w:style w:type="character" w:customStyle="1" w:styleId="af">
    <w:name w:val="批注文字 字符"/>
    <w:basedOn w:val="a0"/>
    <w:link w:val="ae"/>
    <w:uiPriority w:val="1"/>
    <w:semiHidden/>
    <w:rsid w:val="001B5624"/>
    <w:rPr>
      <w:rFonts w:ascii="Calibri" w:hAnsi="Calibri"/>
      <w:kern w:val="2"/>
      <w:sz w:val="21"/>
    </w:rPr>
  </w:style>
  <w:style w:type="paragraph" w:styleId="af0">
    <w:name w:val="annotation subject"/>
    <w:basedOn w:val="ae"/>
    <w:next w:val="ae"/>
    <w:link w:val="af1"/>
    <w:uiPriority w:val="1"/>
    <w:semiHidden/>
    <w:unhideWhenUsed/>
    <w:rsid w:val="001B5624"/>
    <w:rPr>
      <w:b/>
      <w:bCs/>
    </w:rPr>
  </w:style>
  <w:style w:type="character" w:customStyle="1" w:styleId="af1">
    <w:name w:val="批注主题 字符"/>
    <w:basedOn w:val="af"/>
    <w:link w:val="af0"/>
    <w:uiPriority w:val="1"/>
    <w:semiHidden/>
    <w:rsid w:val="001B5624"/>
    <w:rPr>
      <w:rFonts w:ascii="Calibri" w:hAnsi="Calibri"/>
      <w:b/>
      <w:bCs/>
      <w:kern w:val="2"/>
      <w:sz w:val="21"/>
    </w:rPr>
  </w:style>
  <w:style w:type="paragraph" w:styleId="af2">
    <w:name w:val="Revision"/>
    <w:hidden/>
    <w:uiPriority w:val="99"/>
    <w:semiHidden/>
    <w:rsid w:val="001B5624"/>
    <w:rPr>
      <w:rFonts w:ascii="Calibri" w:hAnsi="Calibri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1263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china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C:\Users\Administrator.ZHOU-20150812CD\Desktop\2015年上海“国际法学”研究生学术论坛会议议程（拟）</dc:title>
  <dc:creator>Administrator</dc:creator>
  <cp:lastModifiedBy>Administrator</cp:lastModifiedBy>
  <cp:revision>25</cp:revision>
  <cp:lastPrinted>2019-11-15T03:22:00Z</cp:lastPrinted>
  <dcterms:created xsi:type="dcterms:W3CDTF">2019-11-24T08:41:00Z</dcterms:created>
  <dcterms:modified xsi:type="dcterms:W3CDTF">2019-11-24T11:43:00Z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2057-11.2.0.8991</vt:lpwstr>
  </property>
</Properties>
</file>