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adjustRightInd w:val="0"/>
        <w:snapToGrid w:val="0"/>
        <w:spacing w:line="360" w:lineRule="auto"/>
        <w:jc w:val="center"/>
        <w:rPr>
          <w:rFonts w:hAnsi="宋体" w:cs="宋体"/>
          <w:b/>
          <w:sz w:val="36"/>
          <w:szCs w:val="36"/>
        </w:rPr>
      </w:pPr>
      <w:r>
        <w:rPr>
          <w:rFonts w:hint="eastAsia" w:hAnsi="宋体" w:cs="宋体"/>
          <w:b/>
          <w:sz w:val="36"/>
          <w:szCs w:val="36"/>
        </w:rPr>
        <w:t>上海对外经贸大学学术委员会章程</w:t>
      </w:r>
    </w:p>
    <w:p>
      <w:pPr>
        <w:pStyle w:val="12"/>
        <w:adjustRightInd w:val="0"/>
        <w:snapToGrid w:val="0"/>
        <w:spacing w:line="360" w:lineRule="auto"/>
        <w:jc w:val="center"/>
        <w:rPr>
          <w:rFonts w:hAnsi="宋体" w:cs="宋体"/>
          <w:b/>
          <w:sz w:val="36"/>
          <w:szCs w:val="36"/>
        </w:rPr>
      </w:pPr>
    </w:p>
    <w:p>
      <w:pPr>
        <w:pStyle w:val="12"/>
        <w:adjustRightInd w:val="0"/>
        <w:snapToGrid w:val="0"/>
        <w:spacing w:line="360" w:lineRule="auto"/>
        <w:jc w:val="center"/>
        <w:rPr>
          <w:rFonts w:hAnsi="宋体" w:cs="宋体"/>
          <w:b/>
          <w:sz w:val="32"/>
          <w:szCs w:val="32"/>
        </w:rPr>
      </w:pPr>
      <w:r>
        <w:rPr>
          <w:rFonts w:hint="eastAsia" w:hAnsi="宋体" w:cs="宋体"/>
          <w:b/>
          <w:sz w:val="32"/>
          <w:szCs w:val="32"/>
        </w:rPr>
        <w:t>第一章　总则</w:t>
      </w:r>
    </w:p>
    <w:p>
      <w:pPr>
        <w:adjustRightInd w:val="0"/>
        <w:snapToGrid w:val="0"/>
        <w:spacing w:line="360" w:lineRule="auto"/>
        <w:ind w:firstLine="562" w:firstLineChars="200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第一条</w:t>
      </w:r>
      <w:r>
        <w:rPr>
          <w:rFonts w:hint="eastAsia" w:ascii="宋体" w:hAnsi="宋体" w:cs="宋体"/>
          <w:bCs/>
          <w:sz w:val="28"/>
          <w:szCs w:val="28"/>
        </w:rPr>
        <w:t xml:space="preserve">  为贯彻习近平新时代中国特色社会主义思想，建立和完善现代大学制度，</w:t>
      </w:r>
      <w:r>
        <w:rPr>
          <w:rFonts w:hint="eastAsia" w:ascii="宋体" w:hAnsi="宋体" w:cs="宋体"/>
          <w:bCs/>
          <w:kern w:val="0"/>
          <w:sz w:val="28"/>
          <w:szCs w:val="28"/>
        </w:rPr>
        <w:t>完善内部治理结构，</w:t>
      </w:r>
      <w:r>
        <w:rPr>
          <w:rFonts w:hint="eastAsia" w:ascii="宋体" w:hAnsi="宋体" w:cs="宋体"/>
          <w:sz w:val="28"/>
          <w:szCs w:val="28"/>
        </w:rPr>
        <w:t>全面落实依法治校要求，实施教授治学，</w:t>
      </w:r>
      <w:r>
        <w:rPr>
          <w:rFonts w:hint="eastAsia" w:ascii="宋体" w:hAnsi="宋体" w:cs="宋体"/>
          <w:bCs/>
          <w:sz w:val="28"/>
          <w:szCs w:val="28"/>
        </w:rPr>
        <w:t>把上海对外经贸大学建设成为高水平的应用研究型大学，根据《中华人民共和国高等教育法》、《</w:t>
      </w:r>
      <w:r>
        <w:rPr>
          <w:rFonts w:hint="eastAsia" w:ascii="宋体" w:hAnsi="宋体" w:cs="宋体"/>
          <w:bCs/>
          <w:kern w:val="0"/>
          <w:sz w:val="28"/>
          <w:szCs w:val="28"/>
        </w:rPr>
        <w:t>高等学校学术委员会规程》和《上海对外经贸大学章程》</w:t>
      </w:r>
      <w:r>
        <w:rPr>
          <w:rFonts w:hint="eastAsia" w:ascii="宋体" w:hAnsi="宋体" w:cs="宋体"/>
          <w:bCs/>
          <w:sz w:val="28"/>
          <w:szCs w:val="28"/>
        </w:rPr>
        <w:t>的相关条款规定，结合我校实际情况</w:t>
      </w:r>
      <w:r>
        <w:rPr>
          <w:rFonts w:hint="eastAsia" w:ascii="宋体" w:hAnsi="宋体" w:cs="宋体"/>
          <w:bCs/>
          <w:sz w:val="28"/>
          <w:szCs w:val="28"/>
          <w:lang w:eastAsia="zh-CN"/>
        </w:rPr>
        <w:t>，</w:t>
      </w:r>
      <w:bookmarkStart w:id="0" w:name="_GoBack"/>
      <w:bookmarkEnd w:id="0"/>
      <w:r>
        <w:rPr>
          <w:rFonts w:hint="eastAsia" w:ascii="宋体" w:hAnsi="宋体" w:cs="宋体"/>
          <w:bCs/>
          <w:sz w:val="28"/>
          <w:szCs w:val="28"/>
        </w:rPr>
        <w:t>制定本章程。</w:t>
      </w:r>
    </w:p>
    <w:p>
      <w:pPr>
        <w:adjustRightInd w:val="0"/>
        <w:snapToGrid w:val="0"/>
        <w:spacing w:line="360" w:lineRule="auto"/>
        <w:ind w:firstLine="562" w:firstLineChars="200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第二条</w:t>
      </w:r>
      <w:r>
        <w:rPr>
          <w:rFonts w:hint="eastAsia" w:ascii="宋体" w:hAnsi="宋体" w:cs="宋体"/>
          <w:bCs/>
          <w:sz w:val="28"/>
          <w:szCs w:val="28"/>
        </w:rPr>
        <w:t xml:space="preserve">  上海对外经贸大学学术委员会（以下简称“校学术委员会”）是学校行使学术事务决策、审议、评定和咨询的最高学术机构。</w:t>
      </w:r>
    </w:p>
    <w:p>
      <w:pPr>
        <w:pStyle w:val="12"/>
        <w:adjustRightInd w:val="0"/>
        <w:snapToGrid w:val="0"/>
        <w:spacing w:line="360" w:lineRule="auto"/>
        <w:ind w:right="13" w:rightChars="6" w:firstLine="562" w:firstLineChars="200"/>
        <w:rPr>
          <w:rFonts w:hAnsi="宋体" w:cs="宋体"/>
          <w:b/>
          <w:sz w:val="28"/>
          <w:szCs w:val="28"/>
        </w:rPr>
      </w:pPr>
      <w:r>
        <w:rPr>
          <w:rFonts w:hint="eastAsia" w:hAnsi="宋体" w:cs="宋体"/>
          <w:b/>
          <w:bCs/>
          <w:sz w:val="28"/>
          <w:szCs w:val="28"/>
        </w:rPr>
        <w:t>第三条</w:t>
      </w:r>
      <w:r>
        <w:rPr>
          <w:rFonts w:hint="eastAsia" w:hAnsi="宋体" w:cs="宋体"/>
          <w:sz w:val="28"/>
          <w:szCs w:val="28"/>
        </w:rPr>
        <w:t xml:space="preserve"> 校学术委员会负责审议学科与专业的设置、教学与科学研究计划方案、评定教学与科学研究成果等有关学术事项，</w:t>
      </w:r>
      <w:r>
        <w:rPr>
          <w:rFonts w:hint="eastAsia" w:hAnsi="宋体" w:cs="宋体"/>
          <w:kern w:val="0"/>
          <w:sz w:val="28"/>
          <w:szCs w:val="28"/>
        </w:rPr>
        <w:t>独立行使职权，</w:t>
      </w:r>
      <w:r>
        <w:rPr>
          <w:rFonts w:hint="eastAsia" w:hAnsi="宋体" w:cs="宋体"/>
          <w:sz w:val="28"/>
          <w:szCs w:val="28"/>
        </w:rPr>
        <w:t>充分</w:t>
      </w:r>
      <w:r>
        <w:rPr>
          <w:rFonts w:hint="eastAsia" w:hAnsi="宋体" w:cs="宋体"/>
          <w:kern w:val="0"/>
          <w:sz w:val="28"/>
          <w:szCs w:val="28"/>
        </w:rPr>
        <w:t>发挥在学科建设、学术评价、学术发展和学风建设等事项上的重要作用。</w:t>
      </w:r>
    </w:p>
    <w:p>
      <w:pPr>
        <w:pStyle w:val="12"/>
        <w:adjustRightInd w:val="0"/>
        <w:snapToGrid w:val="0"/>
        <w:spacing w:line="360" w:lineRule="auto"/>
        <w:ind w:firstLine="562" w:firstLineChars="200"/>
        <w:rPr>
          <w:rFonts w:hAnsi="宋体" w:cs="宋体"/>
          <w:kern w:val="0"/>
          <w:sz w:val="28"/>
          <w:szCs w:val="28"/>
        </w:rPr>
      </w:pPr>
      <w:r>
        <w:rPr>
          <w:rFonts w:hint="eastAsia" w:hAnsi="宋体" w:cs="宋体"/>
          <w:b/>
          <w:sz w:val="28"/>
          <w:szCs w:val="28"/>
        </w:rPr>
        <w:t xml:space="preserve">第四条 </w:t>
      </w:r>
      <w:r>
        <w:rPr>
          <w:rFonts w:hint="eastAsia" w:hAnsi="宋体" w:cs="宋体"/>
          <w:bCs/>
          <w:sz w:val="28"/>
          <w:szCs w:val="28"/>
        </w:rPr>
        <w:t>校</w:t>
      </w:r>
      <w:r>
        <w:rPr>
          <w:rFonts w:hint="eastAsia" w:hAnsi="宋体" w:cs="宋体"/>
          <w:kern w:val="0"/>
          <w:sz w:val="28"/>
          <w:szCs w:val="28"/>
        </w:rPr>
        <w:t>学术委员会应当遵循学术规律，尊重学术自由、学术平等，鼓励学术创新，促进学术发展和人才培养，提高学术质量；应当公平、公正、公开地履行职责，保障教师、科研人员和学生在教学、科研和学术事务管理中充分发挥主体作用，促进学校科学发展。</w:t>
      </w:r>
    </w:p>
    <w:p>
      <w:pPr>
        <w:pStyle w:val="12"/>
        <w:adjustRightInd w:val="0"/>
        <w:snapToGrid w:val="0"/>
        <w:spacing w:line="360" w:lineRule="auto"/>
        <w:ind w:firstLine="643" w:firstLineChars="200"/>
        <w:jc w:val="center"/>
        <w:rPr>
          <w:rFonts w:hAnsi="宋体" w:cs="宋体"/>
          <w:b/>
          <w:sz w:val="32"/>
          <w:szCs w:val="32"/>
        </w:rPr>
      </w:pPr>
    </w:p>
    <w:p>
      <w:pPr>
        <w:pStyle w:val="12"/>
        <w:adjustRightInd w:val="0"/>
        <w:snapToGrid w:val="0"/>
        <w:spacing w:line="360" w:lineRule="auto"/>
        <w:ind w:firstLine="643" w:firstLineChars="200"/>
        <w:jc w:val="center"/>
        <w:rPr>
          <w:rFonts w:hAnsi="宋体" w:cs="宋体"/>
          <w:b/>
          <w:sz w:val="32"/>
          <w:szCs w:val="32"/>
        </w:rPr>
      </w:pPr>
      <w:r>
        <w:rPr>
          <w:rFonts w:hint="eastAsia" w:hAnsi="宋体" w:cs="宋体"/>
          <w:b/>
          <w:sz w:val="32"/>
          <w:szCs w:val="32"/>
        </w:rPr>
        <w:t>第二章  组成规则</w:t>
      </w:r>
    </w:p>
    <w:p>
      <w:pPr>
        <w:pStyle w:val="12"/>
        <w:adjustRightInd w:val="0"/>
        <w:snapToGrid w:val="0"/>
        <w:spacing w:line="360" w:lineRule="auto"/>
        <w:ind w:firstLine="562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b/>
          <w:sz w:val="28"/>
          <w:szCs w:val="28"/>
        </w:rPr>
        <w:t xml:space="preserve">第五条  </w:t>
      </w:r>
      <w:r>
        <w:rPr>
          <w:rFonts w:hint="eastAsia" w:hAnsi="宋体" w:cs="宋体"/>
          <w:sz w:val="28"/>
          <w:szCs w:val="28"/>
        </w:rPr>
        <w:t>学术委员会设两级组织，分别为校学术委员会、院（部、所、基地平台）教授委员会。也可按照学科领域设置学术分委员会。</w:t>
      </w:r>
    </w:p>
    <w:p>
      <w:pPr>
        <w:pStyle w:val="12"/>
        <w:adjustRightInd w:val="0"/>
        <w:snapToGrid w:val="0"/>
        <w:spacing w:line="360" w:lineRule="auto"/>
        <w:ind w:firstLine="562" w:firstLineChars="200"/>
        <w:rPr>
          <w:rFonts w:hAnsi="宋体" w:cs="宋体"/>
          <w:bCs/>
          <w:sz w:val="28"/>
          <w:szCs w:val="28"/>
        </w:rPr>
      </w:pPr>
      <w:r>
        <w:rPr>
          <w:rFonts w:hint="eastAsia" w:hAnsi="宋体" w:cs="宋体"/>
          <w:b/>
          <w:sz w:val="28"/>
          <w:szCs w:val="28"/>
        </w:rPr>
        <w:t>第六条</w:t>
      </w:r>
      <w:r>
        <w:rPr>
          <w:rFonts w:hint="eastAsia" w:hAnsi="宋体" w:cs="宋体"/>
          <w:bCs/>
          <w:sz w:val="28"/>
          <w:szCs w:val="28"/>
        </w:rPr>
        <w:t xml:space="preserve">  校学术委员会委员的组成应具有代表性，委员</w:t>
      </w:r>
      <w:r>
        <w:rPr>
          <w:rFonts w:hAnsi="宋体" w:cs="宋体"/>
          <w:bCs/>
          <w:sz w:val="28"/>
          <w:szCs w:val="28"/>
        </w:rPr>
        <w:t>一般应</w:t>
      </w:r>
      <w:r>
        <w:rPr>
          <w:rFonts w:hint="eastAsia" w:hAnsi="宋体" w:cs="宋体"/>
          <w:bCs/>
          <w:sz w:val="28"/>
          <w:szCs w:val="28"/>
        </w:rPr>
        <w:t>具有正高级专业技术职务，在本学科领域有重要影响，具有全局观念和履职能力。</w:t>
      </w:r>
    </w:p>
    <w:p>
      <w:pPr>
        <w:pStyle w:val="12"/>
        <w:adjustRightInd w:val="0"/>
        <w:snapToGrid w:val="0"/>
        <w:spacing w:line="360" w:lineRule="auto"/>
        <w:ind w:firstLine="562" w:firstLineChars="200"/>
        <w:rPr>
          <w:rFonts w:hAnsi="宋体" w:cs="宋体"/>
          <w:bCs/>
          <w:sz w:val="28"/>
          <w:szCs w:val="28"/>
        </w:rPr>
      </w:pPr>
      <w:r>
        <w:rPr>
          <w:rFonts w:hint="eastAsia" w:hAnsi="宋体" w:cs="宋体"/>
          <w:b/>
          <w:sz w:val="28"/>
          <w:szCs w:val="28"/>
        </w:rPr>
        <w:t>第七条</w:t>
      </w:r>
      <w:r>
        <w:rPr>
          <w:rFonts w:hint="eastAsia" w:hAnsi="宋体" w:cs="宋体"/>
          <w:bCs/>
          <w:sz w:val="28"/>
          <w:szCs w:val="28"/>
        </w:rPr>
        <w:t xml:space="preserve">  校</w:t>
      </w:r>
      <w:r>
        <w:rPr>
          <w:rFonts w:hint="eastAsia" w:hAnsi="宋体" w:cs="宋体"/>
          <w:kern w:val="0"/>
          <w:sz w:val="28"/>
          <w:szCs w:val="28"/>
        </w:rPr>
        <w:t>学术委员会人数应当与学校的学科、专业设置相匹配。校学术委员会委员人数为不低于15人的单数，其中担任学校及职能部门党政领导职务的委员，不超过委员总人数的1/4；不担任党政领导职务及院系主要负责人的专任教授，不少于委员总人数的1/2；应当有一定比例的青年教师。</w:t>
      </w:r>
    </w:p>
    <w:p>
      <w:pPr>
        <w:pStyle w:val="12"/>
        <w:adjustRightInd w:val="0"/>
        <w:snapToGrid w:val="0"/>
        <w:spacing w:line="360" w:lineRule="auto"/>
        <w:ind w:firstLine="562" w:firstLineChars="200"/>
        <w:rPr>
          <w:rFonts w:hAnsi="宋体" w:cs="宋体"/>
          <w:bCs/>
          <w:sz w:val="28"/>
          <w:szCs w:val="28"/>
        </w:rPr>
      </w:pPr>
      <w:r>
        <w:rPr>
          <w:rFonts w:hint="eastAsia" w:hAnsi="宋体" w:cs="宋体"/>
          <w:b/>
          <w:sz w:val="28"/>
          <w:szCs w:val="28"/>
        </w:rPr>
        <w:t>第八条</w:t>
      </w:r>
      <w:r>
        <w:rPr>
          <w:rFonts w:hint="eastAsia" w:hAnsi="宋体" w:cs="宋体"/>
          <w:bCs/>
          <w:sz w:val="28"/>
          <w:szCs w:val="28"/>
        </w:rPr>
        <w:t xml:space="preserve">  校学术委员会委员人选由院（所、平台基地等）教授委员会推选和校长推荐方式产生，经党委常委会审议确定，校长聘任。</w:t>
      </w:r>
    </w:p>
    <w:p>
      <w:pPr>
        <w:pStyle w:val="12"/>
        <w:adjustRightInd w:val="0"/>
        <w:snapToGrid w:val="0"/>
        <w:spacing w:line="360" w:lineRule="auto"/>
        <w:ind w:firstLine="562" w:firstLineChars="200"/>
        <w:rPr>
          <w:rFonts w:hAnsi="宋体" w:cs="宋体"/>
          <w:bCs/>
          <w:sz w:val="28"/>
          <w:szCs w:val="28"/>
        </w:rPr>
      </w:pPr>
      <w:r>
        <w:rPr>
          <w:rFonts w:hint="eastAsia" w:hAnsi="宋体" w:cs="宋体"/>
          <w:b/>
          <w:sz w:val="28"/>
          <w:szCs w:val="28"/>
        </w:rPr>
        <w:t xml:space="preserve">第九条  </w:t>
      </w:r>
      <w:r>
        <w:rPr>
          <w:rFonts w:hint="eastAsia" w:hAnsi="宋体" w:cs="宋体"/>
          <w:bCs/>
          <w:sz w:val="28"/>
          <w:szCs w:val="28"/>
        </w:rPr>
        <w:t>校学术委员会设主任委员1名，副主任委员若干名，由校长提名，经党委常委会审议后提交全体委员选举产生。学术委员会秘书处设在科研处。</w:t>
      </w:r>
    </w:p>
    <w:p>
      <w:pPr>
        <w:pStyle w:val="12"/>
        <w:adjustRightInd w:val="0"/>
        <w:snapToGrid w:val="0"/>
        <w:spacing w:line="360" w:lineRule="auto"/>
        <w:ind w:firstLine="562" w:firstLineChars="200"/>
        <w:rPr>
          <w:rFonts w:hAnsi="宋体" w:cs="宋体"/>
          <w:bCs/>
          <w:sz w:val="28"/>
          <w:szCs w:val="28"/>
        </w:rPr>
      </w:pPr>
      <w:r>
        <w:rPr>
          <w:rFonts w:hint="eastAsia" w:hAnsi="宋体" w:cs="宋体"/>
          <w:b/>
          <w:sz w:val="28"/>
          <w:szCs w:val="28"/>
        </w:rPr>
        <w:t>第十条</w:t>
      </w:r>
      <w:r>
        <w:rPr>
          <w:rFonts w:hint="eastAsia" w:hAnsi="宋体" w:cs="宋体"/>
          <w:bCs/>
          <w:sz w:val="28"/>
          <w:szCs w:val="28"/>
        </w:rPr>
        <w:t xml:space="preserve">  校学术委员会设立</w:t>
      </w:r>
      <w:r>
        <w:rPr>
          <w:rFonts w:hint="eastAsia" w:hAnsi="宋体" w:cs="宋体"/>
          <w:bCs/>
          <w:kern w:val="0"/>
          <w:sz w:val="28"/>
          <w:szCs w:val="28"/>
        </w:rPr>
        <w:t>学科建设和科学研究委员会、</w:t>
      </w:r>
      <w:r>
        <w:rPr>
          <w:rFonts w:hint="eastAsia" w:hAnsi="宋体" w:cs="宋体"/>
          <w:bCs/>
          <w:sz w:val="28"/>
          <w:szCs w:val="28"/>
        </w:rPr>
        <w:t>师资队伍建设委员会</w:t>
      </w:r>
      <w:r>
        <w:rPr>
          <w:rFonts w:hint="eastAsia" w:hAnsi="宋体" w:cs="宋体"/>
          <w:bCs/>
          <w:kern w:val="0"/>
          <w:sz w:val="28"/>
          <w:szCs w:val="28"/>
        </w:rPr>
        <w:t>、教学指导委员会和学术道德委员会等4个专门委员会</w:t>
      </w:r>
      <w:r>
        <w:rPr>
          <w:rFonts w:hint="eastAsia" w:hAnsi="宋体" w:cs="宋体"/>
          <w:bCs/>
          <w:sz w:val="28"/>
          <w:szCs w:val="28"/>
        </w:rPr>
        <w:t>。学科建设和科学研究委员会秘书处、学术道德委员会秘书处设在科研处；教学指导委员会秘书处设在教务处；师资队伍建设委员会秘书处设在人事处。经校学术委员会同意，学校可根据工作需要增设或调整专门委员会。</w:t>
      </w:r>
    </w:p>
    <w:p>
      <w:pPr>
        <w:pStyle w:val="12"/>
        <w:adjustRightInd w:val="0"/>
        <w:snapToGrid w:val="0"/>
        <w:spacing w:line="360" w:lineRule="auto"/>
        <w:ind w:firstLine="562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b/>
          <w:sz w:val="28"/>
          <w:szCs w:val="28"/>
        </w:rPr>
        <w:t xml:space="preserve">第十一条  </w:t>
      </w:r>
      <w:r>
        <w:rPr>
          <w:rFonts w:hint="eastAsia" w:hAnsi="宋体" w:cs="宋体"/>
          <w:sz w:val="28"/>
          <w:szCs w:val="28"/>
        </w:rPr>
        <w:t>各专门委员会和院（部、所、基地平台）教授委员会在校学术委员会领导下根据各自规程规定开展工作，专门委员会须将审议通过的事项向校学术委员会秘书处备案，并向校学术委员会报告工作，接受校学术委员会指导和监督。</w:t>
      </w:r>
    </w:p>
    <w:p>
      <w:pPr>
        <w:pStyle w:val="12"/>
        <w:adjustRightInd w:val="0"/>
        <w:snapToGrid w:val="0"/>
        <w:spacing w:line="360" w:lineRule="auto"/>
        <w:ind w:firstLine="562" w:firstLineChars="200"/>
        <w:rPr>
          <w:rFonts w:hAnsi="宋体" w:cs="宋体"/>
          <w:sz w:val="28"/>
          <w:szCs w:val="28"/>
          <w:highlight w:val="green"/>
        </w:rPr>
      </w:pPr>
      <w:r>
        <w:rPr>
          <w:rFonts w:hint="eastAsia" w:hAnsi="宋体" w:cs="宋体"/>
          <w:b/>
          <w:kern w:val="0"/>
          <w:sz w:val="28"/>
          <w:szCs w:val="28"/>
        </w:rPr>
        <w:t xml:space="preserve">第十二条  </w:t>
      </w:r>
      <w:r>
        <w:rPr>
          <w:rFonts w:hint="eastAsia" w:hAnsi="宋体" w:cs="宋体"/>
          <w:sz w:val="28"/>
          <w:szCs w:val="28"/>
        </w:rPr>
        <w:t>各专门委员会人数根据实际工作需要设置，一般设主任委员1人、副主任委员若干人。各专门委员会委员人选根据各自规程规定推选，校学术委员会讨论后由秘书处提交校党委常委会审议确定。</w:t>
      </w:r>
    </w:p>
    <w:p>
      <w:pPr>
        <w:pStyle w:val="12"/>
        <w:adjustRightInd w:val="0"/>
        <w:snapToGrid w:val="0"/>
        <w:spacing w:line="360" w:lineRule="auto"/>
        <w:ind w:firstLine="562" w:firstLineChars="200"/>
        <w:rPr>
          <w:rFonts w:hAnsi="宋体" w:cs="宋体"/>
          <w:bCs/>
          <w:sz w:val="28"/>
          <w:szCs w:val="28"/>
        </w:rPr>
      </w:pPr>
      <w:r>
        <w:rPr>
          <w:rFonts w:hint="eastAsia" w:hAnsi="宋体" w:cs="宋体"/>
          <w:b/>
          <w:kern w:val="0"/>
          <w:sz w:val="28"/>
          <w:szCs w:val="28"/>
        </w:rPr>
        <w:t>第十三条</w:t>
      </w:r>
      <w:r>
        <w:rPr>
          <w:rFonts w:hint="eastAsia" w:hAnsi="宋体" w:cs="宋体"/>
          <w:bCs/>
          <w:kern w:val="0"/>
          <w:sz w:val="28"/>
          <w:szCs w:val="28"/>
        </w:rPr>
        <w:t xml:space="preserve">   校</w:t>
      </w:r>
      <w:r>
        <w:rPr>
          <w:rFonts w:hint="eastAsia" w:hAnsi="宋体" w:cs="宋体"/>
          <w:bCs/>
          <w:sz w:val="28"/>
          <w:szCs w:val="28"/>
        </w:rPr>
        <w:t>学术委员会委员</w:t>
      </w:r>
      <w:r>
        <w:rPr>
          <w:rFonts w:hint="eastAsia" w:hAnsi="宋体" w:cs="宋体"/>
          <w:bCs/>
          <w:kern w:val="0"/>
          <w:sz w:val="28"/>
          <w:szCs w:val="28"/>
        </w:rPr>
        <w:t>任期4年，可连选连任，但连任最长不超过2届。学术委员会每次换届，连任的委员人数应不高于委员总数的2/3。</w:t>
      </w:r>
    </w:p>
    <w:p>
      <w:pPr>
        <w:widowControl/>
        <w:adjustRightInd w:val="0"/>
        <w:snapToGrid w:val="0"/>
        <w:spacing w:line="360" w:lineRule="auto"/>
        <w:ind w:firstLine="562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第十四条</w:t>
      </w:r>
      <w:r>
        <w:rPr>
          <w:rFonts w:hint="eastAsia" w:ascii="宋体" w:hAnsi="宋体" w:cs="宋体"/>
          <w:kern w:val="0"/>
          <w:sz w:val="28"/>
          <w:szCs w:val="28"/>
        </w:rPr>
        <w:t xml:space="preserve">  学术委员会委员在任期内有下列情形，经学术委员会全体会议讨论决定，可免除或同意其辞去委员职务：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（一）主动申请辞去委员职务；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（二）因身体、年龄及职务变动等原因不能履行职责；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（三）怠于履行职责或者违反委员义务；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（四）有违法、违反教师职业道德或者学术不端行为；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（五）因其他原因不能或不宜担任委员职务。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 校学术委员会出现委员空缺时，所空缺名额原则上从空缺委员所在学科（或部门）中补选；各专门委员会、院（部、所、基地平台）教授委员会出现委员空缺时，按各自规程规定程序补选。</w:t>
      </w:r>
    </w:p>
    <w:p>
      <w:pPr>
        <w:widowControl/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360" w:lineRule="auto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第三章 职责权限</w:t>
      </w:r>
    </w:p>
    <w:p>
      <w:pPr>
        <w:widowControl/>
        <w:adjustRightInd w:val="0"/>
        <w:snapToGrid w:val="0"/>
        <w:spacing w:line="360" w:lineRule="auto"/>
        <w:ind w:firstLine="562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 xml:space="preserve">第十五条  </w:t>
      </w:r>
      <w:r>
        <w:rPr>
          <w:rFonts w:hint="eastAsia" w:ascii="宋体" w:hAnsi="宋体" w:cs="宋体"/>
          <w:kern w:val="0"/>
          <w:sz w:val="28"/>
          <w:szCs w:val="28"/>
        </w:rPr>
        <w:t>学术委员会的职责是：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一）对下列事项进行审议或决定：学科专业、教师队伍、科学研究和对外学术交流合作等重大学术规划；教学科研成果、人才培养质量的评价标准及考核办法；学位授予的学术标准；学校教师职务聘任的学术标准与办法；学术评价、争议处理规则，学术道德规范；学术委员会专门委员会组织规程，院（部、所、基地平台）教授委员会章程。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（二）对下列事项进行评定：教学、科学研究成果和奖励及对外推荐；名誉（客座）教授等聘任人选、国内外重要学术组织任职的推荐人选；各类学术、科研基金、科研项目以及教学、科研奖项的设立等。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（三）对下列事项提出咨询意见：与学术事务相关的重大发展规划和战略的制订等事项。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（四）其他需要学术委员会决策、审议、评定和咨询的事项。</w:t>
      </w:r>
    </w:p>
    <w:p>
      <w:pPr>
        <w:pStyle w:val="12"/>
        <w:adjustRightInd w:val="0"/>
        <w:snapToGrid w:val="0"/>
        <w:spacing w:line="360" w:lineRule="auto"/>
        <w:ind w:firstLine="562" w:firstLineChars="200"/>
        <w:rPr>
          <w:rFonts w:hAnsi="宋体" w:cs="宋体"/>
          <w:bCs/>
          <w:kern w:val="0"/>
          <w:sz w:val="28"/>
          <w:szCs w:val="28"/>
        </w:rPr>
      </w:pPr>
      <w:r>
        <w:rPr>
          <w:rFonts w:hint="eastAsia" w:hAnsi="宋体" w:cs="宋体"/>
          <w:b/>
          <w:bCs/>
          <w:kern w:val="0"/>
          <w:sz w:val="28"/>
          <w:szCs w:val="28"/>
        </w:rPr>
        <w:t xml:space="preserve">第十六条 </w:t>
      </w:r>
      <w:r>
        <w:rPr>
          <w:rFonts w:hint="eastAsia" w:hAnsi="宋体" w:cs="宋体"/>
          <w:bCs/>
          <w:kern w:val="0"/>
          <w:sz w:val="28"/>
          <w:szCs w:val="28"/>
        </w:rPr>
        <w:t xml:space="preserve"> 院（部、所、基地平台）教授委员会履行下列工作职责：</w:t>
      </w:r>
    </w:p>
    <w:p>
      <w:pPr>
        <w:pStyle w:val="12"/>
        <w:adjustRightInd w:val="0"/>
        <w:snapToGrid w:val="0"/>
        <w:spacing w:line="360" w:lineRule="auto"/>
        <w:ind w:firstLine="560" w:firstLineChars="200"/>
        <w:rPr>
          <w:rFonts w:hAnsi="宋体" w:cs="宋体"/>
          <w:bCs/>
          <w:kern w:val="0"/>
          <w:sz w:val="28"/>
          <w:szCs w:val="28"/>
        </w:rPr>
      </w:pPr>
      <w:r>
        <w:rPr>
          <w:rFonts w:hint="eastAsia" w:hAnsi="宋体" w:cs="宋体"/>
          <w:bCs/>
          <w:kern w:val="0"/>
          <w:sz w:val="28"/>
          <w:szCs w:val="28"/>
        </w:rPr>
        <w:t>（一）审议本单位师资队伍、学科与专业、实验室建设及人才培养计划等；</w:t>
      </w:r>
    </w:p>
    <w:p>
      <w:pPr>
        <w:pStyle w:val="12"/>
        <w:adjustRightInd w:val="0"/>
        <w:snapToGrid w:val="0"/>
        <w:spacing w:line="360" w:lineRule="auto"/>
        <w:ind w:firstLine="560" w:firstLineChars="200"/>
        <w:rPr>
          <w:rFonts w:hAnsi="宋体" w:cs="宋体"/>
          <w:bCs/>
          <w:kern w:val="0"/>
          <w:sz w:val="28"/>
          <w:szCs w:val="28"/>
        </w:rPr>
      </w:pPr>
      <w:r>
        <w:rPr>
          <w:rFonts w:hint="eastAsia" w:hAnsi="宋体" w:cs="宋体"/>
          <w:bCs/>
          <w:kern w:val="0"/>
          <w:sz w:val="28"/>
          <w:szCs w:val="28"/>
        </w:rPr>
        <w:t>（二）对教师职务晋升进行学术能力、学术道德、学术水平评价；</w:t>
      </w:r>
    </w:p>
    <w:p>
      <w:pPr>
        <w:pStyle w:val="12"/>
        <w:adjustRightInd w:val="0"/>
        <w:snapToGrid w:val="0"/>
        <w:spacing w:line="360" w:lineRule="auto"/>
        <w:ind w:firstLine="560" w:firstLineChars="200"/>
        <w:rPr>
          <w:rFonts w:hAnsi="宋体" w:cs="宋体"/>
          <w:bCs/>
          <w:kern w:val="0"/>
          <w:sz w:val="28"/>
          <w:szCs w:val="28"/>
        </w:rPr>
      </w:pPr>
      <w:r>
        <w:rPr>
          <w:rFonts w:hint="eastAsia" w:hAnsi="宋体" w:cs="宋体"/>
          <w:bCs/>
          <w:kern w:val="0"/>
          <w:sz w:val="28"/>
          <w:szCs w:val="28"/>
        </w:rPr>
        <w:t>（三）评审、推荐本单位申报的各类科研项目和成果奖励；</w:t>
      </w:r>
    </w:p>
    <w:p>
      <w:pPr>
        <w:pStyle w:val="12"/>
        <w:adjustRightInd w:val="0"/>
        <w:snapToGrid w:val="0"/>
        <w:spacing w:line="360" w:lineRule="auto"/>
        <w:ind w:firstLine="560" w:firstLineChars="200"/>
        <w:rPr>
          <w:rFonts w:hAnsi="宋体" w:cs="宋体"/>
          <w:bCs/>
          <w:kern w:val="0"/>
          <w:sz w:val="28"/>
          <w:szCs w:val="28"/>
        </w:rPr>
      </w:pPr>
      <w:r>
        <w:rPr>
          <w:rFonts w:hint="eastAsia" w:hAnsi="宋体" w:cs="宋体"/>
          <w:bCs/>
          <w:kern w:val="0"/>
          <w:sz w:val="28"/>
          <w:szCs w:val="28"/>
        </w:rPr>
        <w:t>（四）负责本单位学风维护和学术道德建设的有关工作；</w:t>
      </w:r>
    </w:p>
    <w:p>
      <w:pPr>
        <w:pStyle w:val="12"/>
        <w:adjustRightInd w:val="0"/>
        <w:snapToGrid w:val="0"/>
        <w:spacing w:line="360" w:lineRule="auto"/>
        <w:ind w:firstLine="560" w:firstLineChars="200"/>
        <w:rPr>
          <w:rFonts w:hAnsi="宋体" w:cs="宋体"/>
          <w:bCs/>
          <w:kern w:val="0"/>
          <w:sz w:val="28"/>
          <w:szCs w:val="28"/>
        </w:rPr>
      </w:pPr>
      <w:r>
        <w:rPr>
          <w:rFonts w:hint="eastAsia" w:hAnsi="宋体" w:cs="宋体"/>
          <w:bCs/>
          <w:kern w:val="0"/>
          <w:sz w:val="28"/>
          <w:szCs w:val="28"/>
        </w:rPr>
        <w:t>（五）负责完成校学术委员会委托的其他学术事项。</w:t>
      </w:r>
    </w:p>
    <w:p>
      <w:pPr>
        <w:pStyle w:val="12"/>
        <w:adjustRightInd w:val="0"/>
        <w:snapToGrid w:val="0"/>
        <w:spacing w:line="360" w:lineRule="auto"/>
        <w:ind w:firstLine="562" w:firstLineChars="200"/>
        <w:rPr>
          <w:rFonts w:hAnsi="宋体" w:cs="宋体"/>
          <w:bCs/>
          <w:kern w:val="0"/>
          <w:sz w:val="28"/>
          <w:szCs w:val="28"/>
        </w:rPr>
      </w:pPr>
      <w:r>
        <w:rPr>
          <w:rFonts w:hint="eastAsia" w:hAnsi="宋体" w:cs="宋体"/>
          <w:b/>
          <w:bCs/>
          <w:kern w:val="0"/>
          <w:sz w:val="28"/>
          <w:szCs w:val="28"/>
        </w:rPr>
        <w:t>第十七条</w:t>
      </w:r>
      <w:r>
        <w:rPr>
          <w:rFonts w:hint="eastAsia" w:hAnsi="宋体" w:cs="宋体"/>
          <w:bCs/>
          <w:kern w:val="0"/>
          <w:sz w:val="28"/>
          <w:szCs w:val="28"/>
        </w:rPr>
        <w:t xml:space="preserve">  各专门委员会根据校学术委员会授权履行以下工作职责：</w:t>
      </w:r>
    </w:p>
    <w:p>
      <w:pPr>
        <w:pStyle w:val="12"/>
        <w:adjustRightInd w:val="0"/>
        <w:snapToGrid w:val="0"/>
        <w:spacing w:line="360" w:lineRule="auto"/>
        <w:ind w:firstLine="560" w:firstLineChars="200"/>
        <w:rPr>
          <w:rFonts w:hAnsi="宋体" w:cs="宋体"/>
          <w:bCs/>
          <w:kern w:val="0"/>
          <w:sz w:val="28"/>
          <w:szCs w:val="28"/>
        </w:rPr>
      </w:pPr>
      <w:r>
        <w:rPr>
          <w:rFonts w:hint="eastAsia" w:hAnsi="宋体" w:cs="宋体"/>
          <w:bCs/>
          <w:kern w:val="0"/>
          <w:sz w:val="28"/>
          <w:szCs w:val="28"/>
        </w:rPr>
        <w:t>（一）学科建设和科学研究委员会负责学校学科规划、建设与调整，学科预算等重大事项的审议。依据本《章程》和《上海对外经贸大学学科建设与科学研究委员会规程》开展工作，行使职权。</w:t>
      </w:r>
    </w:p>
    <w:p>
      <w:pPr>
        <w:pStyle w:val="12"/>
        <w:adjustRightInd w:val="0"/>
        <w:snapToGrid w:val="0"/>
        <w:spacing w:line="360" w:lineRule="auto"/>
        <w:ind w:firstLine="560" w:firstLineChars="200"/>
        <w:rPr>
          <w:rFonts w:hAnsi="宋体" w:cs="宋体"/>
          <w:bCs/>
          <w:kern w:val="0"/>
          <w:sz w:val="28"/>
          <w:szCs w:val="28"/>
        </w:rPr>
      </w:pPr>
      <w:r>
        <w:rPr>
          <w:rFonts w:hint="eastAsia" w:hAnsi="宋体" w:cs="宋体"/>
          <w:bCs/>
          <w:kern w:val="0"/>
          <w:sz w:val="28"/>
          <w:szCs w:val="28"/>
        </w:rPr>
        <w:t>（二）教学指导委员会负责学位点与专业的自主设置或申请设置、学位点与专业建设、课程与教材建设、教学质量保障和实践实验教学等方面的研究与咨询、指导与服务、评估与审议。依据本《章程》、《上海对外经贸大学教学指导委员会规程》开展工作，行使职权。</w:t>
      </w:r>
    </w:p>
    <w:p>
      <w:pPr>
        <w:pStyle w:val="12"/>
        <w:adjustRightInd w:val="0"/>
        <w:snapToGrid w:val="0"/>
        <w:spacing w:line="360" w:lineRule="auto"/>
        <w:ind w:firstLine="560" w:firstLineChars="200"/>
        <w:rPr>
          <w:rFonts w:hAnsi="宋体" w:cs="宋体"/>
          <w:bCs/>
          <w:kern w:val="0"/>
          <w:sz w:val="28"/>
          <w:szCs w:val="28"/>
        </w:rPr>
      </w:pPr>
      <w:r>
        <w:rPr>
          <w:rFonts w:hint="eastAsia" w:hAnsi="宋体" w:cs="宋体"/>
          <w:bCs/>
          <w:kern w:val="0"/>
          <w:sz w:val="28"/>
          <w:szCs w:val="28"/>
        </w:rPr>
        <w:t>（三）师资队伍建设委员会负责教师和专业技术人员职务评审工作。依据本《章程》和《上海对外经贸大学师资队伍建设委员会规程》开展工作，行使职权。</w:t>
      </w:r>
    </w:p>
    <w:p>
      <w:pPr>
        <w:pStyle w:val="12"/>
        <w:adjustRightInd w:val="0"/>
        <w:snapToGrid w:val="0"/>
        <w:spacing w:line="360" w:lineRule="auto"/>
        <w:ind w:firstLine="560" w:firstLineChars="200"/>
        <w:rPr>
          <w:rFonts w:hAnsi="宋体" w:cs="宋体"/>
          <w:bCs/>
          <w:kern w:val="0"/>
          <w:sz w:val="28"/>
          <w:szCs w:val="28"/>
        </w:rPr>
      </w:pPr>
      <w:r>
        <w:rPr>
          <w:rFonts w:hint="eastAsia" w:hAnsi="宋体" w:cs="宋体"/>
          <w:bCs/>
          <w:kern w:val="0"/>
          <w:sz w:val="28"/>
          <w:szCs w:val="28"/>
        </w:rPr>
        <w:t xml:space="preserve">（四）学术道德委员会负责受理有关学术不端行为的举报进行调查取证，裁决学术纠纷。依据本《章程》、《上海对外经贸大学学术道德委员会规程》开展工作，行使职权。          </w:t>
      </w:r>
    </w:p>
    <w:p>
      <w:pPr>
        <w:pStyle w:val="12"/>
        <w:adjustRightInd w:val="0"/>
        <w:snapToGrid w:val="0"/>
        <w:spacing w:line="360" w:lineRule="auto"/>
        <w:ind w:firstLine="562" w:firstLineChars="200"/>
        <w:rPr>
          <w:rFonts w:hAnsi="宋体" w:cs="宋体"/>
          <w:b/>
          <w:sz w:val="28"/>
          <w:szCs w:val="28"/>
        </w:rPr>
      </w:pPr>
      <w:r>
        <w:rPr>
          <w:rFonts w:hint="eastAsia" w:hAnsi="宋体" w:cs="宋体"/>
          <w:b/>
          <w:bCs/>
          <w:kern w:val="0"/>
          <w:sz w:val="28"/>
          <w:szCs w:val="28"/>
        </w:rPr>
        <w:t>第十八条</w:t>
      </w:r>
      <w:r>
        <w:rPr>
          <w:rFonts w:hint="eastAsia" w:hAnsi="宋体" w:cs="宋体"/>
          <w:b/>
          <w:kern w:val="0"/>
          <w:sz w:val="28"/>
          <w:szCs w:val="28"/>
        </w:rPr>
        <w:t xml:space="preserve"> </w:t>
      </w:r>
      <w:r>
        <w:rPr>
          <w:rFonts w:hint="eastAsia" w:hAnsi="宋体" w:cs="宋体"/>
          <w:kern w:val="0"/>
          <w:sz w:val="28"/>
          <w:szCs w:val="28"/>
        </w:rPr>
        <w:t xml:space="preserve"> 校学术委员会委员享有以下权利：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（一）知悉与学术事务相关的学校各项管理制度与相关信息等；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（二）就学术事务向学校相关职能部门提出咨询或质询；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（三）在学术委员会会议中自由、独立地发表意见，讨论、审议和表决各项决议；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（四）对学校学术事务及学术委员会工作提出建议、实施监督；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（五）学校章程或者学术委员会章程规定的其他权利。</w:t>
      </w:r>
    </w:p>
    <w:p>
      <w:pPr>
        <w:widowControl/>
        <w:adjustRightInd w:val="0"/>
        <w:snapToGrid w:val="0"/>
        <w:spacing w:line="360" w:lineRule="auto"/>
        <w:ind w:firstLine="562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第十九条</w:t>
      </w:r>
      <w:r>
        <w:rPr>
          <w:rFonts w:hint="eastAsia" w:ascii="宋体" w:hAnsi="宋体" w:cs="宋体"/>
          <w:kern w:val="0"/>
          <w:sz w:val="28"/>
          <w:szCs w:val="28"/>
        </w:rPr>
        <w:t xml:space="preserve"> 校学术委员会委员须履行以下义务：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（一）遵守国家宪法、法律和法规，遵守学术规范、恪守学术道德；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（二）遵守学术委员会章程，坚守学术专业立场，公正履行职责；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（三）勤勉尽职，积极参加学术委员会会议及有关活动；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（四）对履行职责过程中获知的相关信息负有保密义务。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（五）学校章程或者学术委员会章程规定的其他义务。</w:t>
      </w:r>
    </w:p>
    <w:p>
      <w:pPr>
        <w:widowControl/>
        <w:adjustRightInd w:val="0"/>
        <w:snapToGrid w:val="0"/>
        <w:spacing w:line="360" w:lineRule="auto"/>
        <w:ind w:firstLine="643" w:firstLineChars="200"/>
        <w:jc w:val="center"/>
        <w:rPr>
          <w:rFonts w:ascii="宋体" w:hAnsi="宋体" w:cs="宋体"/>
          <w:b/>
          <w:sz w:val="32"/>
          <w:szCs w:val="32"/>
        </w:rPr>
      </w:pPr>
    </w:p>
    <w:p>
      <w:pPr>
        <w:widowControl/>
        <w:adjustRightInd w:val="0"/>
        <w:snapToGrid w:val="0"/>
        <w:spacing w:line="360" w:lineRule="auto"/>
        <w:ind w:firstLine="643" w:firstLineChars="200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 xml:space="preserve">第四章 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运行制度</w:t>
      </w:r>
    </w:p>
    <w:p>
      <w:pPr>
        <w:widowControl/>
        <w:adjustRightInd w:val="0"/>
        <w:snapToGrid w:val="0"/>
        <w:spacing w:line="360" w:lineRule="auto"/>
        <w:ind w:firstLine="562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第二十条</w:t>
      </w:r>
      <w:r>
        <w:rPr>
          <w:rFonts w:hint="eastAsia" w:ascii="宋体" w:hAnsi="宋体" w:cs="宋体"/>
          <w:kern w:val="0"/>
          <w:sz w:val="28"/>
          <w:szCs w:val="28"/>
        </w:rPr>
        <w:t xml:space="preserve"> 校学术委员会实行例会制度，每学期一般召开2次全体会议。根据工作需要，经学术委员会主任委员或者校长提议，或者1/3以上委员联名提议，可以临时召开学术委员会全体会议，商讨或决定相关事项。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在处理专门学术事务时，学术委员会授权专门委员会，履行相应职责。</w:t>
      </w:r>
    </w:p>
    <w:p>
      <w:pPr>
        <w:widowControl/>
        <w:adjustRightInd w:val="0"/>
        <w:snapToGrid w:val="0"/>
        <w:spacing w:line="360" w:lineRule="auto"/>
        <w:ind w:firstLine="562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 xml:space="preserve">第二十一条 </w:t>
      </w:r>
      <w:r>
        <w:rPr>
          <w:rFonts w:hint="eastAsia" w:ascii="宋体" w:hAnsi="宋体" w:cs="宋体"/>
          <w:kern w:val="0"/>
          <w:sz w:val="28"/>
          <w:szCs w:val="28"/>
        </w:rPr>
        <w:t>校学术委员会主任委员负责召集和主持学术委员会会议，必要时，可以委托副主任委员召集和主持会议。校学术委员会委员全体会议应有2/3以上委员出席方可举行。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校学术委员会全体会议应当提前确定议题并通知与会委员。</w:t>
      </w:r>
    </w:p>
    <w:p>
      <w:pPr>
        <w:widowControl/>
        <w:adjustRightInd w:val="0"/>
        <w:snapToGrid w:val="0"/>
        <w:spacing w:line="360" w:lineRule="auto"/>
        <w:ind w:firstLine="562" w:firstLineChars="200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第二十二条</w:t>
      </w:r>
      <w:r>
        <w:rPr>
          <w:rFonts w:hint="eastAsia" w:ascii="宋体" w:hAnsi="宋体" w:cs="宋体"/>
          <w:kern w:val="0"/>
          <w:sz w:val="28"/>
          <w:szCs w:val="28"/>
        </w:rPr>
        <w:t xml:space="preserve"> 校</w:t>
      </w:r>
      <w:r>
        <w:rPr>
          <w:rFonts w:hint="eastAsia" w:ascii="宋体" w:hAnsi="宋体" w:cs="宋体"/>
          <w:bCs/>
          <w:sz w:val="28"/>
          <w:szCs w:val="28"/>
        </w:rPr>
        <w:t>学术委员会委员一般不得缺席学术委员会会议，因故不能出席的必须向学术委员会秘书处请假，并经主任或授权的副主任同意。委员不得委托他人代为参加会议。</w:t>
      </w:r>
    </w:p>
    <w:p>
      <w:pPr>
        <w:widowControl/>
        <w:adjustRightInd w:val="0"/>
        <w:snapToGrid w:val="0"/>
        <w:spacing w:line="360" w:lineRule="auto"/>
        <w:ind w:firstLine="562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第二十三条</w:t>
      </w:r>
      <w:r>
        <w:rPr>
          <w:rFonts w:hint="eastAsia" w:ascii="宋体" w:hAnsi="宋体" w:cs="宋体"/>
          <w:kern w:val="0"/>
          <w:sz w:val="28"/>
          <w:szCs w:val="28"/>
        </w:rPr>
        <w:t xml:space="preserve">  校学术委员会议事决策实行少数服从多数的原则，</w:t>
      </w:r>
      <w:r>
        <w:rPr>
          <w:rFonts w:hint="eastAsia" w:ascii="宋体" w:hAnsi="宋体" w:cs="宋体"/>
          <w:sz w:val="28"/>
          <w:szCs w:val="28"/>
        </w:rPr>
        <w:t>除法律、法规和学校规章规定的情况外，</w:t>
      </w:r>
      <w:r>
        <w:rPr>
          <w:rFonts w:hint="eastAsia" w:ascii="宋体" w:hAnsi="宋体" w:cs="宋体"/>
          <w:kern w:val="0"/>
          <w:sz w:val="28"/>
          <w:szCs w:val="28"/>
        </w:rPr>
        <w:t>一般事项以与会委员1/2（含）以上同意，方可通过；重大事项应当以与会委员的2/3（含）以上同意，方可通过。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校学术委员会会议审议决定或者评定的事项，一般应当以无记名投票方式做出决定；也可以根据事项性质，采取实名投票方式。 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校学术委员会</w:t>
      </w: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</w:rPr>
        <w:t>会议实行回避制度，在审议或评定与委员本人及其亲属有关的事项时，该委员须回避。</w:t>
      </w:r>
    </w:p>
    <w:p>
      <w:pPr>
        <w:widowControl/>
        <w:adjustRightInd w:val="0"/>
        <w:snapToGrid w:val="0"/>
        <w:spacing w:line="360" w:lineRule="auto"/>
        <w:ind w:firstLine="562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第二十四条</w:t>
      </w:r>
      <w:r>
        <w:rPr>
          <w:rFonts w:hint="eastAsia" w:ascii="宋体" w:hAnsi="宋体" w:cs="宋体"/>
          <w:kern w:val="0"/>
          <w:sz w:val="28"/>
          <w:szCs w:val="28"/>
        </w:rPr>
        <w:t xml:space="preserve">  校学术委员会会议可以根据议题，设立旁听席，允许相关学校职能部门、教师及学生代表列席旁听。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校学术委员会做出的决定应当予以公开，并设置异议期。在异议期内如有异议，经1/3以上委员同意，可召开全体会议复议。经复议的决定为终局结论。</w:t>
      </w:r>
    </w:p>
    <w:p>
      <w:pPr>
        <w:widowControl/>
        <w:adjustRightInd w:val="0"/>
        <w:snapToGrid w:val="0"/>
        <w:spacing w:line="360" w:lineRule="auto"/>
        <w:ind w:firstLine="562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第二十五条</w:t>
      </w:r>
      <w:r>
        <w:rPr>
          <w:rFonts w:hint="eastAsia" w:ascii="宋体" w:hAnsi="宋体" w:cs="宋体"/>
          <w:kern w:val="0"/>
          <w:sz w:val="28"/>
          <w:szCs w:val="28"/>
        </w:rPr>
        <w:t xml:space="preserve"> 校学术委员会应当建立年度报告制度，每年度对学校整体的学术水平、学科发展、人才培养质量等进行全面评价，提出意见、建议；对学术委员会的运行及履行职责的情况进行总结。</w:t>
      </w:r>
    </w:p>
    <w:p>
      <w:pPr>
        <w:widowControl/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360" w:lineRule="auto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第五章  附则</w:t>
      </w:r>
    </w:p>
    <w:p>
      <w:pPr>
        <w:widowControl/>
        <w:adjustRightInd w:val="0"/>
        <w:snapToGrid w:val="0"/>
        <w:spacing w:line="360" w:lineRule="auto"/>
        <w:ind w:firstLine="562" w:firstLineChars="200"/>
        <w:jc w:val="left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 xml:space="preserve">第二十六条  </w:t>
      </w:r>
      <w:r>
        <w:rPr>
          <w:rFonts w:hint="eastAsia" w:ascii="宋体" w:hAnsi="宋体" w:cs="宋体"/>
          <w:sz w:val="28"/>
          <w:szCs w:val="28"/>
        </w:rPr>
        <w:t>各院（部、所、基地平台）教授委员会和各专门委员会根据本《章程》制定规程，由校学术委员会批准后实施。</w:t>
      </w:r>
    </w:p>
    <w:p>
      <w:pPr>
        <w:widowControl/>
        <w:adjustRightInd w:val="0"/>
        <w:snapToGrid w:val="0"/>
        <w:spacing w:line="360" w:lineRule="auto"/>
        <w:ind w:firstLine="562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 xml:space="preserve">第二十七条  </w:t>
      </w:r>
      <w:r>
        <w:rPr>
          <w:rFonts w:hint="eastAsia" w:ascii="宋体" w:hAnsi="宋体" w:cs="宋体"/>
          <w:sz w:val="28"/>
          <w:szCs w:val="28"/>
        </w:rPr>
        <w:t>本《章程》经党委常委会审议后提交校学术委员会全体会议审定。</w:t>
      </w:r>
    </w:p>
    <w:p>
      <w:pPr>
        <w:widowControl/>
        <w:adjustRightInd w:val="0"/>
        <w:snapToGrid w:val="0"/>
        <w:spacing w:line="360" w:lineRule="auto"/>
        <w:ind w:firstLine="562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 xml:space="preserve">第二十八条  </w:t>
      </w:r>
      <w:r>
        <w:rPr>
          <w:rFonts w:hint="eastAsia" w:ascii="宋体" w:hAnsi="宋体" w:cs="宋体"/>
          <w:sz w:val="28"/>
          <w:szCs w:val="28"/>
        </w:rPr>
        <w:t>本《章程》自学术委员会审定通过之日起施行，原《上海对外经贸大学学术委员会章程》同时废止。</w:t>
      </w:r>
    </w:p>
    <w:p>
      <w:pPr>
        <w:widowControl/>
        <w:adjustRightInd w:val="0"/>
        <w:snapToGrid w:val="0"/>
        <w:spacing w:line="360" w:lineRule="auto"/>
        <w:ind w:firstLine="562" w:firstLineChars="200"/>
        <w:jc w:val="left"/>
        <w:rPr>
          <w:rFonts w:eastAsia="仿宋_GB2312"/>
          <w:sz w:val="30"/>
          <w:szCs w:val="30"/>
        </w:rPr>
      </w:pPr>
      <w:r>
        <w:rPr>
          <w:rFonts w:hint="eastAsia" w:ascii="宋体" w:hAnsi="宋体" w:cs="宋体"/>
          <w:b/>
          <w:sz w:val="28"/>
          <w:szCs w:val="28"/>
        </w:rPr>
        <w:t xml:space="preserve">第二十九条  </w:t>
      </w:r>
      <w:r>
        <w:rPr>
          <w:rFonts w:hint="eastAsia" w:ascii="宋体" w:hAnsi="宋体" w:cs="宋体"/>
          <w:sz w:val="28"/>
          <w:szCs w:val="28"/>
        </w:rPr>
        <w:t>本《章程》由校学术委员会负责解释。</w:t>
      </w:r>
      <w:r>
        <w:rPr>
          <w:rFonts w:ascii="宋体" w:hAnsi="宋体" w:eastAsia="仿宋_GB2312"/>
          <w:b/>
          <w:sz w:val="31"/>
          <w:szCs w:val="30"/>
        </w:rPr>
        <w:pict>
          <v:shape id="Text Box 2" o:spid="_x0000_s1026" o:spt="202" type="#_x0000_t202" style="position:absolute;left:0pt;margin-left:210pt;margin-top:709.8pt;height:23.4pt;width:27pt;z-index:251659264;mso-width-relative:page;mso-height-relative:page;" stroked="f" coordsize="21600,21600">
            <v:path/>
            <v:fill focussize="0,0"/>
            <v:stroke on="f" joinstyle="miter"/>
            <v:imagedata o:title=""/>
            <o:lock v:ext="edit"/>
            <v:textbox>
              <w:txbxContent>
                <w:p/>
              </w:txbxContent>
            </v:textbox>
          </v:shape>
        </w:pict>
      </w:r>
    </w:p>
    <w:sectPr>
      <w:footerReference r:id="rId3" w:type="default"/>
      <w:footerReference r:id="rId4" w:type="even"/>
      <w:pgSz w:w="11906" w:h="16838"/>
      <w:pgMar w:top="1418" w:right="1616" w:bottom="1191" w:left="1276" w:header="680" w:footer="737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̥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pict>
        <v:shape id="文本框2" o:spid="_x0000_s2049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6"/>
                  <w:rPr>
                    <w:rStyle w:val="29"/>
                  </w:rPr>
                </w:pPr>
                <w:r>
                  <w:fldChar w:fldCharType="begin"/>
                </w:r>
                <w:r>
                  <w:rPr>
                    <w:rStyle w:val="29"/>
                  </w:rPr>
                  <w:instrText xml:space="preserve">PAGE  </w:instrText>
                </w:r>
                <w:r>
                  <w:fldChar w:fldCharType="separate"/>
                </w:r>
                <w:r>
                  <w:rPr>
                    <w:rStyle w:val="29"/>
                  </w:rP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framePr w:wrap="around" w:vAnchor="text" w:hAnchor="margin" w:xAlign="center" w:y="1"/>
      <w:rPr>
        <w:rStyle w:val="29"/>
      </w:rPr>
    </w:pPr>
    <w:r>
      <w:fldChar w:fldCharType="begin"/>
    </w:r>
    <w:r>
      <w:rPr>
        <w:rStyle w:val="29"/>
      </w:rPr>
      <w:instrText xml:space="preserve">PAGE  </w:instrText>
    </w:r>
    <w:r>
      <w:fldChar w:fldCharType="separate"/>
    </w:r>
    <w:r>
      <w:rPr>
        <w:rStyle w:val="29"/>
      </w:rPr>
      <w:t>6</w:t>
    </w:r>
    <w:r>
      <w:fldChar w:fldCharType="end"/>
    </w:r>
  </w:p>
  <w:p>
    <w:pPr>
      <w:pStyle w:val="1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JjOGIzMmQ2YmM2NDc2M2FiZDVmYWM5ZmJiZGE3NmIifQ=="/>
  </w:docVars>
  <w:rsids>
    <w:rsidRoot w:val="00172A27"/>
    <w:rsid w:val="0000687D"/>
    <w:rsid w:val="00017491"/>
    <w:rsid w:val="0006083E"/>
    <w:rsid w:val="00071617"/>
    <w:rsid w:val="000B7878"/>
    <w:rsid w:val="000D37E2"/>
    <w:rsid w:val="00123558"/>
    <w:rsid w:val="00152336"/>
    <w:rsid w:val="001622BF"/>
    <w:rsid w:val="00172A27"/>
    <w:rsid w:val="001A2E66"/>
    <w:rsid w:val="001D1634"/>
    <w:rsid w:val="001D7192"/>
    <w:rsid w:val="001F0593"/>
    <w:rsid w:val="001F286E"/>
    <w:rsid w:val="00210354"/>
    <w:rsid w:val="00215848"/>
    <w:rsid w:val="00237C82"/>
    <w:rsid w:val="00255D47"/>
    <w:rsid w:val="002C191E"/>
    <w:rsid w:val="002C4ADB"/>
    <w:rsid w:val="00310E2A"/>
    <w:rsid w:val="003565B6"/>
    <w:rsid w:val="00362B40"/>
    <w:rsid w:val="00381712"/>
    <w:rsid w:val="003D1BA5"/>
    <w:rsid w:val="00426FD6"/>
    <w:rsid w:val="00427A67"/>
    <w:rsid w:val="0048388B"/>
    <w:rsid w:val="004D0225"/>
    <w:rsid w:val="00527442"/>
    <w:rsid w:val="005834BC"/>
    <w:rsid w:val="00585DB2"/>
    <w:rsid w:val="005A44D4"/>
    <w:rsid w:val="005F74AE"/>
    <w:rsid w:val="0061649E"/>
    <w:rsid w:val="00623B0F"/>
    <w:rsid w:val="00624008"/>
    <w:rsid w:val="0066056E"/>
    <w:rsid w:val="00663E85"/>
    <w:rsid w:val="006716EF"/>
    <w:rsid w:val="006A3559"/>
    <w:rsid w:val="007070F4"/>
    <w:rsid w:val="00727092"/>
    <w:rsid w:val="007408B7"/>
    <w:rsid w:val="00751581"/>
    <w:rsid w:val="00753E06"/>
    <w:rsid w:val="00755FB5"/>
    <w:rsid w:val="00791ABA"/>
    <w:rsid w:val="007A7E79"/>
    <w:rsid w:val="0085067F"/>
    <w:rsid w:val="00887358"/>
    <w:rsid w:val="008F36A5"/>
    <w:rsid w:val="00906552"/>
    <w:rsid w:val="00927138"/>
    <w:rsid w:val="00942F1E"/>
    <w:rsid w:val="00946685"/>
    <w:rsid w:val="00993822"/>
    <w:rsid w:val="009B2FC8"/>
    <w:rsid w:val="009F2088"/>
    <w:rsid w:val="00A2214F"/>
    <w:rsid w:val="00A2590A"/>
    <w:rsid w:val="00A300E4"/>
    <w:rsid w:val="00A52571"/>
    <w:rsid w:val="00A62BBD"/>
    <w:rsid w:val="00A7017D"/>
    <w:rsid w:val="00A979DE"/>
    <w:rsid w:val="00AA3ED2"/>
    <w:rsid w:val="00AB6673"/>
    <w:rsid w:val="00AF6110"/>
    <w:rsid w:val="00B06F86"/>
    <w:rsid w:val="00B24105"/>
    <w:rsid w:val="00B351D8"/>
    <w:rsid w:val="00B4759B"/>
    <w:rsid w:val="00B51289"/>
    <w:rsid w:val="00B7716A"/>
    <w:rsid w:val="00B86723"/>
    <w:rsid w:val="00BE40F6"/>
    <w:rsid w:val="00C45C54"/>
    <w:rsid w:val="00D8736B"/>
    <w:rsid w:val="00DA43B8"/>
    <w:rsid w:val="00DD4790"/>
    <w:rsid w:val="00E318AB"/>
    <w:rsid w:val="00E92259"/>
    <w:rsid w:val="00E9235A"/>
    <w:rsid w:val="00E95946"/>
    <w:rsid w:val="00EA13AC"/>
    <w:rsid w:val="00F551BE"/>
    <w:rsid w:val="00F64EC8"/>
    <w:rsid w:val="00FD6A89"/>
    <w:rsid w:val="66E77387"/>
    <w:rsid w:val="75D5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name="toc 4"/>
    <w:lsdException w:unhideWhenUsed="0" w:uiPriority="0" w:name="toc 5"/>
    <w:lsdException w:unhideWhenUsed="0" w:uiPriority="0" w:name="toc 6"/>
    <w:lsdException w:unhideWhenUsed="0" w:uiPriority="0" w:name="toc 7"/>
    <w:lsdException w:unhideWhenUsed="0" w:uiPriority="0" w:name="toc 8"/>
    <w:lsdException w:unhideWhenUsed="0" w:uiPriority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7">
    <w:name w:val="Default Paragraph Font"/>
    <w:semiHidden/>
    <w:unhideWhenUsed/>
    <w:uiPriority w:val="1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semiHidden/>
    <w:uiPriority w:val="0"/>
    <w:pPr>
      <w:ind w:left="1260"/>
      <w:jc w:val="left"/>
    </w:pPr>
    <w:rPr>
      <w:sz w:val="18"/>
      <w:szCs w:val="18"/>
    </w:rPr>
  </w:style>
  <w:style w:type="paragraph" w:styleId="6">
    <w:name w:val="Document Map"/>
    <w:basedOn w:val="1"/>
    <w:semiHidden/>
    <w:uiPriority w:val="0"/>
    <w:pPr>
      <w:shd w:val="clear" w:color="auto" w:fill="000080"/>
    </w:pPr>
  </w:style>
  <w:style w:type="paragraph" w:styleId="7">
    <w:name w:val="annotation text"/>
    <w:basedOn w:val="1"/>
    <w:link w:val="36"/>
    <w:semiHidden/>
    <w:uiPriority w:val="0"/>
    <w:pPr>
      <w:jc w:val="left"/>
    </w:pPr>
    <w:rPr>
      <w:rFonts w:ascii="楷体_GB2312" w:eastAsia="楷体_GB2312"/>
      <w:sz w:val="28"/>
    </w:rPr>
  </w:style>
  <w:style w:type="paragraph" w:styleId="8">
    <w:name w:val="Body Text"/>
    <w:basedOn w:val="1"/>
    <w:uiPriority w:val="0"/>
    <w:pPr>
      <w:spacing w:after="120"/>
    </w:pPr>
  </w:style>
  <w:style w:type="paragraph" w:styleId="9">
    <w:name w:val="Body Text Indent"/>
    <w:basedOn w:val="1"/>
    <w:uiPriority w:val="0"/>
    <w:pPr>
      <w:widowControl/>
      <w:spacing w:line="400" w:lineRule="exact"/>
      <w:ind w:firstLine="480" w:firstLineChars="200"/>
    </w:pPr>
    <w:rPr>
      <w:color w:val="FF0000"/>
      <w:sz w:val="24"/>
      <w:szCs w:val="18"/>
    </w:rPr>
  </w:style>
  <w:style w:type="paragraph" w:styleId="10">
    <w:name w:val="toc 5"/>
    <w:basedOn w:val="1"/>
    <w:next w:val="1"/>
    <w:semiHidden/>
    <w:uiPriority w:val="0"/>
    <w:pPr>
      <w:ind w:left="840"/>
      <w:jc w:val="left"/>
    </w:pPr>
    <w:rPr>
      <w:sz w:val="18"/>
      <w:szCs w:val="18"/>
    </w:rPr>
  </w:style>
  <w:style w:type="paragraph" w:styleId="11">
    <w:name w:val="toc 3"/>
    <w:basedOn w:val="1"/>
    <w:next w:val="1"/>
    <w:semiHidden/>
    <w:uiPriority w:val="0"/>
    <w:pPr>
      <w:ind w:left="420"/>
      <w:jc w:val="left"/>
    </w:pPr>
    <w:rPr>
      <w:i/>
      <w:iCs/>
      <w:sz w:val="20"/>
      <w:szCs w:val="20"/>
    </w:rPr>
  </w:style>
  <w:style w:type="paragraph" w:styleId="12">
    <w:name w:val="Plain Text"/>
    <w:basedOn w:val="1"/>
    <w:uiPriority w:val="0"/>
    <w:rPr>
      <w:rFonts w:ascii="宋体" w:hAnsi="Courier New"/>
      <w:szCs w:val="20"/>
    </w:rPr>
  </w:style>
  <w:style w:type="paragraph" w:styleId="13">
    <w:name w:val="toc 8"/>
    <w:basedOn w:val="1"/>
    <w:next w:val="1"/>
    <w:semiHidden/>
    <w:uiPriority w:val="0"/>
    <w:pPr>
      <w:ind w:left="1470"/>
      <w:jc w:val="left"/>
    </w:pPr>
    <w:rPr>
      <w:sz w:val="18"/>
      <w:szCs w:val="18"/>
    </w:rPr>
  </w:style>
  <w:style w:type="paragraph" w:styleId="14">
    <w:name w:val="Body Text Indent 2"/>
    <w:basedOn w:val="1"/>
    <w:uiPriority w:val="0"/>
    <w:pPr>
      <w:spacing w:line="480" w:lineRule="exact"/>
      <w:ind w:firstLine="461" w:firstLineChars="192"/>
    </w:pPr>
    <w:rPr>
      <w:rFonts w:ascii="楷体_GB2312" w:eastAsia="楷体_GB2312"/>
      <w:sz w:val="24"/>
    </w:rPr>
  </w:style>
  <w:style w:type="paragraph" w:styleId="15">
    <w:name w:val="Balloon Text"/>
    <w:basedOn w:val="1"/>
    <w:uiPriority w:val="0"/>
    <w:rPr>
      <w:sz w:val="18"/>
      <w:szCs w:val="18"/>
    </w:rPr>
  </w:style>
  <w:style w:type="paragraph" w:styleId="1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semiHidden/>
    <w:uiPriority w:val="0"/>
    <w:pPr>
      <w:tabs>
        <w:tab w:val="right" w:leader="dot" w:pos="8948"/>
      </w:tabs>
      <w:spacing w:line="640" w:lineRule="exact"/>
      <w:jc w:val="distribute"/>
    </w:pPr>
    <w:rPr>
      <w:rFonts w:ascii="仿宋_GB2312" w:hAnsi="仿宋_GB2312" w:eastAsia="仿宋_GB2312"/>
      <w:spacing w:val="-2"/>
      <w:sz w:val="30"/>
      <w:szCs w:val="30"/>
    </w:rPr>
  </w:style>
  <w:style w:type="paragraph" w:styleId="19">
    <w:name w:val="toc 4"/>
    <w:basedOn w:val="1"/>
    <w:next w:val="1"/>
    <w:semiHidden/>
    <w:uiPriority w:val="0"/>
    <w:pPr>
      <w:ind w:left="630"/>
      <w:jc w:val="left"/>
    </w:pPr>
    <w:rPr>
      <w:sz w:val="18"/>
      <w:szCs w:val="18"/>
    </w:rPr>
  </w:style>
  <w:style w:type="paragraph" w:styleId="20">
    <w:name w:val="toc 6"/>
    <w:basedOn w:val="1"/>
    <w:next w:val="1"/>
    <w:semiHidden/>
    <w:uiPriority w:val="0"/>
    <w:pPr>
      <w:ind w:left="1050"/>
      <w:jc w:val="left"/>
    </w:pPr>
    <w:rPr>
      <w:sz w:val="18"/>
      <w:szCs w:val="18"/>
    </w:rPr>
  </w:style>
  <w:style w:type="paragraph" w:styleId="21">
    <w:name w:val="toc 2"/>
    <w:basedOn w:val="1"/>
    <w:next w:val="1"/>
    <w:semiHidden/>
    <w:uiPriority w:val="0"/>
    <w:pPr>
      <w:ind w:left="210"/>
      <w:jc w:val="left"/>
    </w:pPr>
    <w:rPr>
      <w:smallCaps/>
      <w:sz w:val="20"/>
      <w:szCs w:val="20"/>
    </w:rPr>
  </w:style>
  <w:style w:type="paragraph" w:styleId="22">
    <w:name w:val="toc 9"/>
    <w:basedOn w:val="1"/>
    <w:next w:val="1"/>
    <w:semiHidden/>
    <w:uiPriority w:val="0"/>
    <w:pPr>
      <w:ind w:left="1680"/>
      <w:jc w:val="left"/>
    </w:pPr>
    <w:rPr>
      <w:sz w:val="18"/>
      <w:szCs w:val="18"/>
    </w:rPr>
  </w:style>
  <w:style w:type="paragraph" w:styleId="23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2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/>
      <w:kern w:val="0"/>
      <w:sz w:val="24"/>
    </w:rPr>
  </w:style>
  <w:style w:type="paragraph" w:styleId="25">
    <w:name w:val="annotation subject"/>
    <w:basedOn w:val="7"/>
    <w:next w:val="7"/>
    <w:link w:val="35"/>
    <w:uiPriority w:val="0"/>
    <w:rPr>
      <w:rFonts w:ascii="Times New Roman" w:eastAsia="宋体"/>
      <w:b/>
      <w:bCs/>
      <w:sz w:val="21"/>
    </w:rPr>
  </w:style>
  <w:style w:type="character" w:styleId="28">
    <w:name w:val="Strong"/>
    <w:qFormat/>
    <w:uiPriority w:val="0"/>
    <w:rPr>
      <w:b/>
      <w:bCs/>
    </w:rPr>
  </w:style>
  <w:style w:type="character" w:styleId="29">
    <w:name w:val="page number"/>
    <w:basedOn w:val="27"/>
    <w:uiPriority w:val="0"/>
  </w:style>
  <w:style w:type="character" w:styleId="30">
    <w:name w:val="FollowedHyperlink"/>
    <w:uiPriority w:val="0"/>
    <w:rPr>
      <w:color w:val="800080"/>
      <w:u w:val="single"/>
    </w:rPr>
  </w:style>
  <w:style w:type="character" w:styleId="31">
    <w:name w:val="Hyperlink"/>
    <w:uiPriority w:val="0"/>
    <w:rPr>
      <w:color w:val="0000FF"/>
      <w:u w:val="single"/>
    </w:rPr>
  </w:style>
  <w:style w:type="character" w:styleId="32">
    <w:name w:val="annotation reference"/>
    <w:semiHidden/>
    <w:uiPriority w:val="0"/>
    <w:rPr>
      <w:sz w:val="21"/>
      <w:szCs w:val="21"/>
    </w:rPr>
  </w:style>
  <w:style w:type="character" w:customStyle="1" w:styleId="33">
    <w:name w:val="Char Char8"/>
    <w:uiPriority w:val="0"/>
    <w:rPr>
      <w:kern w:val="2"/>
      <w:sz w:val="18"/>
      <w:szCs w:val="18"/>
    </w:rPr>
  </w:style>
  <w:style w:type="character" w:customStyle="1" w:styleId="34">
    <w:name w:val="h141"/>
    <w:uiPriority w:val="0"/>
    <w:rPr>
      <w:rFonts w:hint="default" w:ascii="̥_GB2312" w:hAnsi="̥_GB2312"/>
      <w:sz w:val="21"/>
      <w:szCs w:val="21"/>
    </w:rPr>
  </w:style>
  <w:style w:type="character" w:customStyle="1" w:styleId="35">
    <w:name w:val="批注主题 Char"/>
    <w:basedOn w:val="36"/>
    <w:link w:val="25"/>
    <w:uiPriority w:val="0"/>
  </w:style>
  <w:style w:type="character" w:customStyle="1" w:styleId="36">
    <w:name w:val="批注文字 Char"/>
    <w:basedOn w:val="27"/>
    <w:link w:val="7"/>
    <w:semiHidden/>
    <w:uiPriority w:val="0"/>
    <w:rPr>
      <w:rFonts w:ascii="楷体_GB2312" w:eastAsia="楷体_GB2312"/>
      <w:kern w:val="2"/>
      <w:sz w:val="28"/>
      <w:szCs w:val="24"/>
    </w:rPr>
  </w:style>
  <w:style w:type="character" w:customStyle="1" w:styleId="37">
    <w:name w:val="Char Char6"/>
    <w:uiPriority w:val="0"/>
    <w:rPr>
      <w:color w:val="FF0000"/>
      <w:kern w:val="2"/>
      <w:sz w:val="24"/>
      <w:szCs w:val="18"/>
    </w:rPr>
  </w:style>
  <w:style w:type="character" w:customStyle="1" w:styleId="38">
    <w:name w:val="Char Char2"/>
    <w:uiPriority w:val="0"/>
    <w:rPr>
      <w:rFonts w:ascii="楷体_GB2312" w:eastAsia="楷体_GB2312"/>
      <w:kern w:val="2"/>
      <w:sz w:val="28"/>
      <w:szCs w:val="24"/>
    </w:rPr>
  </w:style>
  <w:style w:type="character" w:customStyle="1" w:styleId="39">
    <w:name w:val="Char Char4"/>
    <w:uiPriority w:val="0"/>
    <w:rPr>
      <w:kern w:val="2"/>
      <w:sz w:val="18"/>
      <w:szCs w:val="18"/>
    </w:rPr>
  </w:style>
  <w:style w:type="character" w:customStyle="1" w:styleId="40">
    <w:name w:val="Char Char1"/>
    <w:uiPriority w:val="0"/>
    <w:rPr>
      <w:kern w:val="2"/>
      <w:sz w:val="18"/>
      <w:szCs w:val="18"/>
    </w:rPr>
  </w:style>
  <w:style w:type="character" w:customStyle="1" w:styleId="41">
    <w:name w:val="Char Char9"/>
    <w:uiPriority w:val="0"/>
    <w:rPr>
      <w:b/>
      <w:bCs/>
      <w:kern w:val="44"/>
      <w:sz w:val="44"/>
      <w:szCs w:val="44"/>
    </w:rPr>
  </w:style>
  <w:style w:type="character" w:customStyle="1" w:styleId="42">
    <w:name w:val="t_blue_01"/>
    <w:basedOn w:val="27"/>
    <w:uiPriority w:val="0"/>
  </w:style>
  <w:style w:type="character" w:customStyle="1" w:styleId="43">
    <w:name w:val="Char Char5"/>
    <w:uiPriority w:val="0"/>
    <w:rPr>
      <w:kern w:val="2"/>
      <w:sz w:val="21"/>
      <w:szCs w:val="24"/>
    </w:rPr>
  </w:style>
  <w:style w:type="character" w:customStyle="1" w:styleId="44">
    <w:name w:val="Char Char3"/>
    <w:uiPriority w:val="0"/>
    <w:rPr>
      <w:rFonts w:ascii="宋体" w:hAnsi="宋体" w:cs="宋体"/>
      <w:sz w:val="24"/>
      <w:szCs w:val="24"/>
    </w:rPr>
  </w:style>
  <w:style w:type="character" w:customStyle="1" w:styleId="45">
    <w:name w:val="Char Char"/>
    <w:uiPriority w:val="0"/>
    <w:rPr>
      <w:rFonts w:ascii="楷体_GB2312" w:eastAsia="楷体_GB2312"/>
      <w:kern w:val="2"/>
      <w:sz w:val="24"/>
      <w:szCs w:val="24"/>
    </w:rPr>
  </w:style>
  <w:style w:type="character" w:customStyle="1" w:styleId="46">
    <w:name w:val="Char Char7"/>
    <w:uiPriority w:val="0"/>
    <w:rPr>
      <w:rFonts w:ascii="宋体" w:hAnsi="Courier New"/>
      <w:kern w:val="2"/>
      <w:sz w:val="21"/>
    </w:rPr>
  </w:style>
  <w:style w:type="paragraph" w:customStyle="1" w:styleId="47">
    <w:name w:val="样式1"/>
    <w:basedOn w:val="18"/>
    <w:uiPriority w:val="0"/>
  </w:style>
  <w:style w:type="paragraph" w:customStyle="1" w:styleId="48">
    <w:name w:val="一级"/>
    <w:basedOn w:val="12"/>
    <w:uiPriority w:val="0"/>
    <w:pPr>
      <w:tabs>
        <w:tab w:val="left" w:pos="840"/>
        <w:tab w:val="left" w:pos="1474"/>
      </w:tabs>
      <w:snapToGrid w:val="0"/>
      <w:spacing w:beforeLines="100" w:afterLines="100" w:line="400" w:lineRule="exact"/>
      <w:jc w:val="center"/>
      <w:outlineLvl w:val="0"/>
    </w:pPr>
    <w:rPr>
      <w:rFonts w:hAnsi="宋体" w:eastAsia="黑体"/>
      <w:b/>
      <w:sz w:val="32"/>
      <w:szCs w:val="32"/>
    </w:rPr>
  </w:style>
  <w:style w:type="paragraph" w:customStyle="1" w:styleId="49">
    <w:name w:val="duanluo"/>
    <w:basedOn w:val="1"/>
    <w:uiPriority w:val="0"/>
    <w:pPr>
      <w:widowControl/>
      <w:spacing w:before="100" w:beforeAutospacing="1" w:after="100" w:afterAutospacing="1" w:line="432" w:lineRule="auto"/>
      <w:ind w:firstLine="480"/>
      <w:jc w:val="left"/>
    </w:pPr>
    <w:rPr>
      <w:rFonts w:ascii="_GB2312" w:hAnsi="_GB2312"/>
      <w:color w:val="000000"/>
      <w:kern w:val="0"/>
      <w:szCs w:val="21"/>
    </w:rPr>
  </w:style>
  <w:style w:type="paragraph" w:customStyle="1" w:styleId="50">
    <w:name w:val="Char Char Char Char"/>
    <w:basedOn w:val="1"/>
    <w:uiPriority w:val="0"/>
    <w:pPr>
      <w:tabs>
        <w:tab w:val="left" w:pos="360"/>
      </w:tabs>
      <w:ind w:left="360" w:hanging="360"/>
    </w:pPr>
    <w:rPr>
      <w:sz w:val="24"/>
    </w:rPr>
  </w:style>
  <w:style w:type="paragraph" w:customStyle="1" w:styleId="51">
    <w:name w:val="二级"/>
    <w:basedOn w:val="12"/>
    <w:uiPriority w:val="0"/>
    <w:pPr>
      <w:tabs>
        <w:tab w:val="left" w:pos="840"/>
        <w:tab w:val="left" w:pos="1474"/>
      </w:tabs>
      <w:snapToGrid w:val="0"/>
      <w:spacing w:afterLines="50" w:line="400" w:lineRule="exact"/>
      <w:jc w:val="center"/>
    </w:pPr>
    <w:rPr>
      <w:rFonts w:hAnsi="宋体" w:eastAsia="黑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HK</Company>
  <Pages>6</Pages>
  <Words>3512</Words>
  <Characters>3529</Characters>
  <Lines>26</Lines>
  <Paragraphs>7</Paragraphs>
  <TotalTime>7</TotalTime>
  <ScaleCrop>false</ScaleCrop>
  <LinksUpToDate>false</LinksUpToDate>
  <CharactersWithSpaces>3600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2019-12-09T04:29:00Z</dcterms:created>
  <dc:creator>WCZ</dc:creator>
  <cp:lastModifiedBy>钉钉</cp:lastModifiedBy>
  <cp:lastPrinted>2015-10-20T05:19:00Z</cp:lastPrinted>
  <dcterms:modified xsi:type="dcterms:W3CDTF">2022-07-30T11:12:14Z</dcterms:modified>
  <dc:title>西南大学科研项目分类（社会科学类）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B724AFDDB6EE4964A728008743992BF0</vt:lpwstr>
  </property>
</Properties>
</file>