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02" w:rsidRPr="00014F02" w:rsidRDefault="00014F02" w:rsidP="00014F02">
      <w:pPr>
        <w:widowControl/>
        <w:shd w:val="clear" w:color="auto" w:fill="FFFFFF"/>
        <w:spacing w:before="100" w:beforeAutospacing="1" w:after="100" w:afterAutospacing="1" w:line="360" w:lineRule="auto"/>
        <w:jc w:val="center"/>
        <w:rPr>
          <w:rFonts w:asciiTheme="majorEastAsia" w:eastAsiaTheme="majorEastAsia" w:hAnsiTheme="majorEastAsia" w:cs="Arial" w:hint="eastAsia"/>
          <w:kern w:val="0"/>
          <w:sz w:val="32"/>
          <w:szCs w:val="32"/>
        </w:rPr>
      </w:pPr>
      <w:r w:rsidRPr="00014F02">
        <w:rPr>
          <w:rFonts w:asciiTheme="majorEastAsia" w:eastAsiaTheme="majorEastAsia" w:hAnsiTheme="majorEastAsia" w:cs="Arial" w:hint="eastAsia"/>
          <w:b/>
          <w:bCs/>
          <w:color w:val="000033"/>
          <w:kern w:val="0"/>
          <w:sz w:val="32"/>
          <w:szCs w:val="32"/>
        </w:rPr>
        <w:t>上海对外贸易学院部门工会经费划拨、使用办法</w:t>
      </w:r>
    </w:p>
    <w:p w:rsidR="00014F02" w:rsidRPr="00014F02" w:rsidRDefault="00014F02" w:rsidP="00014F02">
      <w:pPr>
        <w:shd w:val="clear" w:color="auto" w:fill="FFFFFF"/>
        <w:spacing w:line="360" w:lineRule="auto"/>
        <w:ind w:firstLineChars="200" w:firstLine="562"/>
        <w:jc w:val="center"/>
        <w:rPr>
          <w:rFonts w:ascii="仿宋_GB2312" w:eastAsia="仿宋_GB2312" w:hAnsi="Arial" w:cs="Arial" w:hint="eastAsia"/>
          <w:b/>
          <w:bCs/>
          <w:kern w:val="0"/>
          <w:sz w:val="28"/>
          <w:szCs w:val="28"/>
        </w:rPr>
      </w:pPr>
      <w:r w:rsidRPr="00014F02">
        <w:rPr>
          <w:rFonts w:ascii="仿宋_GB2312" w:eastAsia="仿宋_GB2312" w:hAnsi="Arial" w:cs="Arial" w:hint="eastAsia"/>
          <w:b/>
          <w:bCs/>
          <w:kern w:val="0"/>
          <w:sz w:val="28"/>
          <w:szCs w:val="28"/>
        </w:rPr>
        <w:t>上海对外贸易学院</w:t>
      </w:r>
    </w:p>
    <w:p w:rsidR="00014F02" w:rsidRPr="00014F02" w:rsidRDefault="00014F02" w:rsidP="00014F02">
      <w:pPr>
        <w:shd w:val="clear" w:color="auto" w:fill="FFFFFF"/>
        <w:spacing w:line="360" w:lineRule="auto"/>
        <w:ind w:firstLineChars="200" w:firstLine="562"/>
        <w:jc w:val="center"/>
        <w:rPr>
          <w:rFonts w:ascii="仿宋_GB2312" w:eastAsia="仿宋_GB2312" w:hAnsi="Arial" w:cs="Arial" w:hint="eastAsia"/>
          <w:b/>
          <w:bCs/>
          <w:kern w:val="0"/>
          <w:sz w:val="28"/>
          <w:szCs w:val="28"/>
        </w:rPr>
      </w:pPr>
      <w:r w:rsidRPr="00014F02">
        <w:rPr>
          <w:rFonts w:ascii="仿宋_GB2312" w:eastAsia="仿宋_GB2312" w:hAnsi="Arial" w:cs="Arial" w:hint="eastAsia"/>
          <w:b/>
          <w:bCs/>
          <w:kern w:val="0"/>
          <w:sz w:val="28"/>
          <w:szCs w:val="28"/>
        </w:rPr>
        <w:t>部门工会经费划拨、使用办法</w:t>
      </w:r>
    </w:p>
    <w:p w:rsidR="00014F02" w:rsidRPr="00014F02" w:rsidRDefault="00014F02" w:rsidP="00014F02">
      <w:pPr>
        <w:shd w:val="clear" w:color="auto" w:fill="FFFFFF"/>
        <w:spacing w:line="360" w:lineRule="auto"/>
        <w:ind w:firstLineChars="200" w:firstLine="560"/>
        <w:jc w:val="center"/>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 xml:space="preserve"> （2007年11月制定，2009年3月修订，2009年10月再次修订）</w:t>
      </w:r>
    </w:p>
    <w:p w:rsidR="00014F02" w:rsidRPr="00014F02" w:rsidRDefault="00014F02" w:rsidP="00014F02">
      <w:pPr>
        <w:shd w:val="clear" w:color="auto" w:fill="FFFFFF"/>
        <w:spacing w:line="360" w:lineRule="auto"/>
        <w:ind w:firstLineChars="200" w:firstLine="562"/>
        <w:jc w:val="center"/>
        <w:rPr>
          <w:rFonts w:ascii="仿宋_GB2312" w:eastAsia="仿宋_GB2312" w:hAnsi="Arial" w:cs="Arial" w:hint="eastAsia"/>
          <w:b/>
          <w:bCs/>
          <w:kern w:val="0"/>
          <w:sz w:val="28"/>
          <w:szCs w:val="28"/>
        </w:rPr>
      </w:pPr>
    </w:p>
    <w:p w:rsidR="00014F02" w:rsidRPr="00014F02" w:rsidRDefault="00014F02" w:rsidP="00014F02">
      <w:pPr>
        <w:shd w:val="clear" w:color="auto" w:fill="FFFFFF"/>
        <w:spacing w:line="360" w:lineRule="auto"/>
        <w:ind w:firstLineChars="196" w:firstLine="549"/>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根据《工会法》的相关规定和上级工会关于对工会经费要“收</w:t>
      </w:r>
    </w:p>
    <w:p w:rsidR="00014F02" w:rsidRPr="00014F02" w:rsidRDefault="00014F02" w:rsidP="00014F02">
      <w:pPr>
        <w:shd w:val="clear" w:color="auto" w:fill="FFFFFF"/>
        <w:spacing w:line="360" w:lineRule="auto"/>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好、管好、用好”的要求，</w:t>
      </w:r>
      <w:r w:rsidRPr="00014F02">
        <w:rPr>
          <w:rFonts w:ascii="仿宋_GB2312" w:eastAsia="仿宋_GB2312" w:hAnsi="Arial" w:cs="Arial" w:hint="eastAsia"/>
          <w:kern w:val="0"/>
          <w:sz w:val="28"/>
          <w:szCs w:val="28"/>
        </w:rPr>
        <w:t>进一步贯彻执行“三重一大”的制度，</w:t>
      </w:r>
      <w:r w:rsidRPr="00014F02">
        <w:rPr>
          <w:rFonts w:ascii="仿宋_GB2312" w:eastAsia="仿宋_GB2312" w:hAnsi="Arial" w:cs="Arial" w:hint="eastAsia"/>
          <w:bCs/>
          <w:kern w:val="0"/>
          <w:sz w:val="28"/>
          <w:szCs w:val="28"/>
        </w:rPr>
        <w:t>切实维护广大会员的切身利益，特制定《上海对外贸易学院部门工会经费划拨、使用办法》。</w:t>
      </w:r>
    </w:p>
    <w:p w:rsidR="00014F02" w:rsidRPr="00014F02" w:rsidRDefault="00014F02" w:rsidP="00014F02">
      <w:pPr>
        <w:shd w:val="clear" w:color="auto" w:fill="FFFFFF"/>
        <w:spacing w:line="360" w:lineRule="auto"/>
        <w:ind w:firstLineChars="200" w:firstLine="562"/>
        <w:rPr>
          <w:rFonts w:ascii="仿宋_GB2312" w:eastAsia="仿宋_GB2312" w:hAnsi="Arial" w:cs="Arial" w:hint="eastAsia"/>
          <w:b/>
          <w:bCs/>
          <w:kern w:val="0"/>
          <w:sz w:val="28"/>
          <w:szCs w:val="28"/>
        </w:rPr>
      </w:pPr>
      <w:r w:rsidRPr="00014F02">
        <w:rPr>
          <w:rFonts w:ascii="仿宋_GB2312" w:eastAsia="仿宋_GB2312" w:hAnsi="Arial" w:cs="Arial" w:hint="eastAsia"/>
          <w:b/>
          <w:bCs/>
          <w:kern w:val="0"/>
          <w:sz w:val="28"/>
          <w:szCs w:val="28"/>
        </w:rPr>
        <w:t>一、经费来源及管理</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1、校工会划拨到各部门工会的会费（校工会每年将上一年度职工上缴会费总额按照全校在职会员人均数全额划拨到各部门工会）；</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2、校工会奖励或资助部门工会的专项经费；</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3、学校下拨给部门工会的其它经费。</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4、上述经费由校工会财务统一管理，各部门工会在各自的额度内遵循“量入为出”原则按规定使用，</w:t>
      </w:r>
      <w:r w:rsidRPr="00014F02">
        <w:rPr>
          <w:rFonts w:ascii="仿宋_GB2312" w:eastAsia="仿宋_GB2312" w:hAnsi="Arial" w:cs="Arial" w:hint="eastAsia"/>
          <w:kern w:val="0"/>
          <w:sz w:val="28"/>
          <w:szCs w:val="28"/>
        </w:rPr>
        <w:t>校工会将依据</w:t>
      </w:r>
      <w:r w:rsidRPr="00014F02">
        <w:rPr>
          <w:rFonts w:ascii="仿宋_GB2312" w:eastAsia="仿宋_GB2312" w:hAnsi="Arial" w:cs="Arial" w:hint="eastAsia"/>
          <w:bCs/>
          <w:kern w:val="0"/>
          <w:sz w:val="28"/>
          <w:szCs w:val="28"/>
        </w:rPr>
        <w:t>各部门工会自己确定的项目和标准核准报销。不允许超范围使用，不允许透支，不鼓励过量结余。</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5、部门工会经费的收支情况每年要向部门工代会（会员大会）报告。</w:t>
      </w:r>
    </w:p>
    <w:p w:rsidR="00014F02" w:rsidRPr="00014F02" w:rsidRDefault="00014F02" w:rsidP="00014F02">
      <w:pPr>
        <w:shd w:val="clear" w:color="auto" w:fill="FFFFFF"/>
        <w:spacing w:line="360" w:lineRule="auto"/>
        <w:ind w:firstLineChars="200" w:firstLine="562"/>
        <w:rPr>
          <w:rFonts w:ascii="仿宋_GB2312" w:eastAsia="仿宋_GB2312" w:hAnsi="Arial" w:cs="Arial" w:hint="eastAsia"/>
          <w:b/>
          <w:bCs/>
          <w:kern w:val="0"/>
          <w:sz w:val="28"/>
          <w:szCs w:val="28"/>
        </w:rPr>
      </w:pPr>
      <w:r w:rsidRPr="00014F02">
        <w:rPr>
          <w:rFonts w:ascii="仿宋_GB2312" w:eastAsia="仿宋_GB2312" w:hAnsi="Arial" w:cs="Arial" w:hint="eastAsia"/>
          <w:b/>
          <w:bCs/>
          <w:kern w:val="0"/>
          <w:sz w:val="28"/>
          <w:szCs w:val="28"/>
        </w:rPr>
        <w:t>二、使用范围及限制</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
          <w:bCs/>
          <w:kern w:val="0"/>
          <w:sz w:val="28"/>
          <w:szCs w:val="28"/>
        </w:rPr>
      </w:pPr>
      <w:r w:rsidRPr="00014F02">
        <w:rPr>
          <w:rFonts w:ascii="仿宋_GB2312" w:eastAsia="仿宋_GB2312" w:hAnsi="Arial" w:cs="Arial" w:hint="eastAsia"/>
          <w:bCs/>
          <w:kern w:val="0"/>
          <w:sz w:val="28"/>
          <w:szCs w:val="28"/>
        </w:rPr>
        <w:lastRenderedPageBreak/>
        <w:t>上述经费是部门工会面向本部门全体职工会员的活动经费，使用范围如下：</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1、开展部门文体活动及购置文体器材或用具；</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2、关心、慰问病员或有其它特殊困难或情况的职工会员。</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关心、慰问、帮困的项目及标准由各部门工会按公平合理、一视同仁、统一标准的原则集体讨论决定，其结果应留有书面记录，并报校工会备案。</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bCs/>
          <w:kern w:val="0"/>
          <w:sz w:val="28"/>
          <w:szCs w:val="28"/>
        </w:rPr>
      </w:pPr>
      <w:r w:rsidRPr="00014F02">
        <w:rPr>
          <w:rFonts w:ascii="仿宋_GB2312" w:eastAsia="仿宋_GB2312" w:hAnsi="Arial" w:cs="Arial" w:hint="eastAsia"/>
          <w:bCs/>
          <w:kern w:val="0"/>
          <w:sz w:val="28"/>
          <w:szCs w:val="28"/>
        </w:rPr>
        <w:t>3、部门工会经费不能用于办公、交通、招待等费用的支出。</w:t>
      </w:r>
    </w:p>
    <w:p w:rsidR="00014F02" w:rsidRPr="00014F02" w:rsidRDefault="00014F02" w:rsidP="00014F02">
      <w:pPr>
        <w:shd w:val="clear" w:color="auto" w:fill="FFFFFF"/>
        <w:spacing w:line="360" w:lineRule="auto"/>
        <w:ind w:firstLineChars="200" w:firstLine="562"/>
        <w:rPr>
          <w:rFonts w:ascii="仿宋_GB2312" w:eastAsia="仿宋_GB2312" w:hAnsi="Arial" w:cs="Arial" w:hint="eastAsia"/>
          <w:b/>
          <w:bCs/>
          <w:kern w:val="0"/>
          <w:sz w:val="28"/>
          <w:szCs w:val="28"/>
        </w:rPr>
      </w:pPr>
      <w:r w:rsidRPr="00014F02">
        <w:rPr>
          <w:rFonts w:ascii="仿宋_GB2312" w:eastAsia="仿宋_GB2312" w:hAnsi="Arial" w:cs="Arial" w:hint="eastAsia"/>
          <w:b/>
          <w:bCs/>
          <w:kern w:val="0"/>
          <w:sz w:val="28"/>
          <w:szCs w:val="28"/>
        </w:rPr>
        <w:t>三、报销凭证及手续</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1、报销凭证必须是盖有税务专用章的正规发票；</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2、发票抬头应填写“上海对外贸易学院工会”；</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3、发票内容必须齐备，包括商品名称、规格（型号）、单价、数量、总价及开票日期和经手人签字；内容较多写不下的，必须列明所购物品清单（收银条）；</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4、单张发票金额1000元以上的，必须到校工会办理支票或银行转账手续；在同一店铺、同一日期购买同一物品的联号或跳号发票金额要累加。</w:t>
      </w:r>
    </w:p>
    <w:p w:rsidR="00014F02" w:rsidRPr="00014F02" w:rsidRDefault="00014F02" w:rsidP="00014F02">
      <w:pPr>
        <w:shd w:val="clear" w:color="auto" w:fill="FFFFFF"/>
        <w:spacing w:line="360" w:lineRule="auto"/>
        <w:ind w:leftChars="72" w:left="151" w:firstLineChars="150" w:firstLine="420"/>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5、购买单件物品超过500元的，须先书面征得校工会同意，并到校工会办理“固定资产”登记，然后再办理报销手续；</w:t>
      </w:r>
    </w:p>
    <w:p w:rsidR="00014F02" w:rsidRPr="00014F02" w:rsidRDefault="00014F02" w:rsidP="00014F02">
      <w:pPr>
        <w:shd w:val="clear" w:color="auto" w:fill="FFFFFF"/>
        <w:spacing w:line="360" w:lineRule="auto"/>
        <w:ind w:leftChars="72" w:left="151" w:firstLineChars="150" w:firstLine="420"/>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6、现金慰问或实物发放须制作发放清单，并由领取人签字。</w:t>
      </w:r>
    </w:p>
    <w:p w:rsidR="00014F02" w:rsidRPr="00014F02" w:rsidRDefault="00014F02" w:rsidP="00014F02">
      <w:pPr>
        <w:shd w:val="clear" w:color="auto" w:fill="FFFFFF"/>
        <w:spacing w:line="360" w:lineRule="auto"/>
        <w:ind w:leftChars="72" w:left="151" w:firstLineChars="150" w:firstLine="420"/>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7、探望、慰问教职工的支出，须注明探望、慰问的项目和对象。</w:t>
      </w:r>
    </w:p>
    <w:p w:rsidR="00014F02" w:rsidRPr="00014F02" w:rsidRDefault="00014F02" w:rsidP="00014F02">
      <w:pPr>
        <w:shd w:val="clear" w:color="auto" w:fill="FFFFFF"/>
        <w:spacing w:line="360" w:lineRule="auto"/>
        <w:ind w:leftChars="72" w:left="151" w:firstLineChars="150" w:firstLine="420"/>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8、报销时统一使用学校的“费用报销单”。</w:t>
      </w:r>
    </w:p>
    <w:p w:rsidR="00014F02" w:rsidRPr="00014F02" w:rsidRDefault="00014F02" w:rsidP="00014F02">
      <w:pPr>
        <w:shd w:val="clear" w:color="auto" w:fill="FFFFFF"/>
        <w:spacing w:line="360" w:lineRule="auto"/>
        <w:ind w:leftChars="72" w:left="151" w:firstLineChars="150" w:firstLine="420"/>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lastRenderedPageBreak/>
        <w:t>报销凭证背面须有经手人签字。“报销人”一栏由经手人签字；部门工会负责人在“部门主管”一栏签字。（部门工会负责人经手的开支，须由部门党政负责人在“部门主管”一栏签字），然后携带部门工会经费登记册到校工会办理报销手续。</w:t>
      </w:r>
    </w:p>
    <w:p w:rsidR="00014F02" w:rsidRPr="00014F02" w:rsidRDefault="00014F02" w:rsidP="00014F02">
      <w:pPr>
        <w:shd w:val="clear" w:color="auto" w:fill="FFFFFF"/>
        <w:spacing w:line="360" w:lineRule="auto"/>
        <w:ind w:leftChars="72" w:left="151" w:firstLineChars="150" w:firstLine="422"/>
        <w:rPr>
          <w:rFonts w:ascii="仿宋_GB2312" w:eastAsia="仿宋_GB2312" w:hAnsi="Arial" w:cs="Arial" w:hint="eastAsia"/>
          <w:b/>
          <w:kern w:val="0"/>
          <w:sz w:val="28"/>
          <w:szCs w:val="28"/>
        </w:rPr>
      </w:pPr>
      <w:r w:rsidRPr="00014F02">
        <w:rPr>
          <w:rFonts w:ascii="仿宋_GB2312" w:eastAsia="仿宋_GB2312" w:hAnsi="Arial" w:cs="Arial" w:hint="eastAsia"/>
          <w:b/>
          <w:kern w:val="0"/>
          <w:sz w:val="28"/>
          <w:szCs w:val="28"/>
        </w:rPr>
        <w:t>四、附则</w:t>
      </w:r>
    </w:p>
    <w:p w:rsidR="00014F02" w:rsidRPr="00014F02" w:rsidRDefault="00014F02" w:rsidP="00014F02">
      <w:pPr>
        <w:shd w:val="clear" w:color="auto" w:fill="FFFFFF"/>
        <w:spacing w:line="360" w:lineRule="auto"/>
        <w:ind w:leftChars="72" w:left="151" w:firstLineChars="150" w:firstLine="420"/>
        <w:rPr>
          <w:rFonts w:ascii="仿宋_GB2312" w:eastAsia="仿宋_GB2312" w:hAnsi="Arial" w:cs="Arial" w:hint="eastAsia"/>
          <w:kern w:val="0"/>
          <w:sz w:val="28"/>
          <w:szCs w:val="28"/>
        </w:rPr>
      </w:pPr>
      <w:r w:rsidRPr="00014F02">
        <w:rPr>
          <w:rFonts w:ascii="仿宋_GB2312" w:eastAsia="仿宋_GB2312" w:hAnsi="Arial" w:cs="Arial" w:hint="eastAsia"/>
          <w:bCs/>
          <w:kern w:val="0"/>
          <w:sz w:val="28"/>
          <w:szCs w:val="28"/>
        </w:rPr>
        <w:t>1、本《办法》自公布之日起实行。</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kern w:val="0"/>
          <w:sz w:val="28"/>
          <w:szCs w:val="28"/>
        </w:rPr>
      </w:pPr>
      <w:r w:rsidRPr="00014F02">
        <w:rPr>
          <w:rFonts w:ascii="仿宋_GB2312" w:eastAsia="仿宋_GB2312" w:hAnsi="Arial" w:cs="Arial" w:hint="eastAsia"/>
          <w:bCs/>
          <w:kern w:val="0"/>
          <w:sz w:val="28"/>
          <w:szCs w:val="28"/>
        </w:rPr>
        <w:t>2、本《办法》由</w:t>
      </w:r>
      <w:r w:rsidRPr="00014F02">
        <w:rPr>
          <w:rFonts w:ascii="仿宋_GB2312" w:eastAsia="仿宋_GB2312" w:hAnsi="Arial" w:cs="Arial" w:hint="eastAsia"/>
          <w:kern w:val="0"/>
          <w:sz w:val="28"/>
          <w:szCs w:val="28"/>
        </w:rPr>
        <w:t>校工会主席会议解释。</w:t>
      </w:r>
    </w:p>
    <w:p w:rsidR="00014F02" w:rsidRPr="00014F02" w:rsidRDefault="00014F02" w:rsidP="00014F02">
      <w:pPr>
        <w:shd w:val="clear" w:color="auto" w:fill="FFFFFF"/>
        <w:spacing w:line="360" w:lineRule="auto"/>
        <w:ind w:firstLineChars="200" w:firstLine="560"/>
        <w:rPr>
          <w:rFonts w:ascii="仿宋_GB2312" w:eastAsia="仿宋_GB2312" w:hAnsi="Arial" w:cs="Arial" w:hint="eastAsia"/>
          <w:kern w:val="0"/>
          <w:sz w:val="28"/>
          <w:szCs w:val="28"/>
        </w:rPr>
      </w:pPr>
      <w:r w:rsidRPr="00014F02">
        <w:rPr>
          <w:rFonts w:ascii="Arial" w:eastAsia="仿宋_GB2312" w:hAnsi="Arial" w:cs="Arial" w:hint="eastAsia"/>
          <w:kern w:val="0"/>
          <w:sz w:val="28"/>
          <w:szCs w:val="28"/>
        </w:rPr>
        <w:t> </w:t>
      </w:r>
    </w:p>
    <w:p w:rsidR="007D3E88" w:rsidRPr="00014F02" w:rsidRDefault="007D3E88" w:rsidP="00014F02">
      <w:pPr>
        <w:widowControl/>
        <w:shd w:val="clear" w:color="auto" w:fill="FFFFFF"/>
        <w:spacing w:before="100" w:beforeAutospacing="1" w:after="100" w:afterAutospacing="1" w:line="360" w:lineRule="auto"/>
        <w:jc w:val="right"/>
        <w:rPr>
          <w:rFonts w:ascii="仿宋_GB2312" w:eastAsia="仿宋_GB2312" w:hAnsi="Arial" w:cs="Arial" w:hint="eastAsia"/>
          <w:kern w:val="0"/>
          <w:sz w:val="28"/>
          <w:szCs w:val="28"/>
        </w:rPr>
      </w:pPr>
      <w:r w:rsidRPr="00014F02">
        <w:rPr>
          <w:rFonts w:ascii="Arial" w:eastAsia="仿宋_GB2312" w:hAnsi="Arial" w:cs="Arial" w:hint="eastAsia"/>
          <w:kern w:val="0"/>
          <w:sz w:val="28"/>
          <w:szCs w:val="28"/>
        </w:rPr>
        <w:t> </w:t>
      </w:r>
      <w:r w:rsidRPr="00014F02">
        <w:rPr>
          <w:rFonts w:ascii="仿宋_GB2312" w:eastAsia="仿宋_GB2312" w:hAnsi="Arial" w:cs="Arial" w:hint="eastAsia"/>
          <w:kern w:val="0"/>
          <w:sz w:val="28"/>
          <w:szCs w:val="28"/>
        </w:rPr>
        <w:t>上海对外经贸大学</w:t>
      </w:r>
    </w:p>
    <w:p w:rsidR="007D3E88" w:rsidRPr="00014F02" w:rsidRDefault="007D3E88" w:rsidP="00014F02">
      <w:pPr>
        <w:widowControl/>
        <w:shd w:val="clear" w:color="auto" w:fill="FFFFFF"/>
        <w:spacing w:before="100" w:beforeAutospacing="1" w:after="100" w:afterAutospacing="1" w:line="360" w:lineRule="auto"/>
        <w:jc w:val="right"/>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工会</w:t>
      </w:r>
    </w:p>
    <w:p w:rsidR="00C476FF" w:rsidRPr="00014F02" w:rsidRDefault="007D3E88" w:rsidP="00014F02">
      <w:pPr>
        <w:widowControl/>
        <w:shd w:val="clear" w:color="auto" w:fill="FFFFFF"/>
        <w:spacing w:before="100" w:beforeAutospacing="1" w:after="100" w:afterAutospacing="1" w:line="360" w:lineRule="auto"/>
        <w:jc w:val="right"/>
        <w:rPr>
          <w:rFonts w:ascii="仿宋_GB2312" w:eastAsia="仿宋_GB2312" w:hAnsi="Arial" w:cs="Arial" w:hint="eastAsia"/>
          <w:kern w:val="0"/>
          <w:sz w:val="28"/>
          <w:szCs w:val="28"/>
        </w:rPr>
      </w:pPr>
      <w:r w:rsidRPr="00014F02">
        <w:rPr>
          <w:rFonts w:ascii="仿宋_GB2312" w:eastAsia="仿宋_GB2312" w:hAnsi="Arial" w:cs="Arial" w:hint="eastAsia"/>
          <w:kern w:val="0"/>
          <w:sz w:val="28"/>
          <w:szCs w:val="28"/>
        </w:rPr>
        <w:t>20</w:t>
      </w:r>
      <w:r w:rsidR="00F521B7" w:rsidRPr="00014F02">
        <w:rPr>
          <w:rFonts w:ascii="仿宋_GB2312" w:eastAsia="仿宋_GB2312" w:hAnsi="Arial" w:cs="Arial" w:hint="eastAsia"/>
          <w:kern w:val="0"/>
          <w:sz w:val="28"/>
          <w:szCs w:val="28"/>
        </w:rPr>
        <w:t>1</w:t>
      </w:r>
      <w:r w:rsidR="00014F02">
        <w:rPr>
          <w:rFonts w:ascii="仿宋_GB2312" w:eastAsia="仿宋_GB2312" w:hAnsi="Arial" w:cs="Arial" w:hint="eastAsia"/>
          <w:kern w:val="0"/>
          <w:sz w:val="28"/>
          <w:szCs w:val="28"/>
        </w:rPr>
        <w:t>0</w:t>
      </w:r>
      <w:r w:rsidRPr="00014F02">
        <w:rPr>
          <w:rFonts w:ascii="仿宋_GB2312" w:eastAsia="仿宋_GB2312" w:hAnsi="Arial" w:cs="Arial" w:hint="eastAsia"/>
          <w:kern w:val="0"/>
          <w:sz w:val="28"/>
          <w:szCs w:val="28"/>
        </w:rPr>
        <w:t>年</w:t>
      </w:r>
      <w:r w:rsidR="00014F02">
        <w:rPr>
          <w:rFonts w:ascii="仿宋_GB2312" w:eastAsia="仿宋_GB2312" w:hAnsi="Arial" w:cs="Arial" w:hint="eastAsia"/>
          <w:kern w:val="0"/>
          <w:sz w:val="28"/>
          <w:szCs w:val="28"/>
        </w:rPr>
        <w:t>1</w:t>
      </w:r>
      <w:r w:rsidRPr="00014F02">
        <w:rPr>
          <w:rFonts w:ascii="仿宋_GB2312" w:eastAsia="仿宋_GB2312" w:hAnsi="Arial" w:cs="Arial" w:hint="eastAsia"/>
          <w:kern w:val="0"/>
          <w:sz w:val="28"/>
          <w:szCs w:val="28"/>
        </w:rPr>
        <w:t>月</w:t>
      </w:r>
      <w:r w:rsidR="00014F02">
        <w:rPr>
          <w:rFonts w:ascii="仿宋_GB2312" w:eastAsia="仿宋_GB2312" w:hAnsi="Arial" w:cs="Arial" w:hint="eastAsia"/>
          <w:kern w:val="0"/>
          <w:sz w:val="28"/>
          <w:szCs w:val="28"/>
        </w:rPr>
        <w:t>17</w:t>
      </w:r>
      <w:r w:rsidRPr="00014F02">
        <w:rPr>
          <w:rFonts w:ascii="仿宋_GB2312" w:eastAsia="仿宋_GB2312" w:hAnsi="Arial" w:cs="Arial" w:hint="eastAsia"/>
          <w:kern w:val="0"/>
          <w:sz w:val="28"/>
          <w:szCs w:val="28"/>
        </w:rPr>
        <w:t>日</w:t>
      </w:r>
    </w:p>
    <w:sectPr w:rsidR="00C476FF" w:rsidRPr="00014F02" w:rsidSect="002525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D09" w:rsidRDefault="00961D09" w:rsidP="00C476FF">
      <w:r>
        <w:separator/>
      </w:r>
    </w:p>
  </w:endnote>
  <w:endnote w:type="continuationSeparator" w:id="1">
    <w:p w:rsidR="00961D09" w:rsidRDefault="00961D09" w:rsidP="00C476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ӗԲ">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D09" w:rsidRDefault="00961D09" w:rsidP="00C476FF">
      <w:r>
        <w:separator/>
      </w:r>
    </w:p>
  </w:footnote>
  <w:footnote w:type="continuationSeparator" w:id="1">
    <w:p w:rsidR="00961D09" w:rsidRDefault="00961D09" w:rsidP="00C476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76FF"/>
    <w:rsid w:val="00014F02"/>
    <w:rsid w:val="00024E82"/>
    <w:rsid w:val="000D3190"/>
    <w:rsid w:val="00160E02"/>
    <w:rsid w:val="001615AC"/>
    <w:rsid w:val="001D3FAB"/>
    <w:rsid w:val="00244322"/>
    <w:rsid w:val="002525BD"/>
    <w:rsid w:val="002D1154"/>
    <w:rsid w:val="003B46D1"/>
    <w:rsid w:val="00422E01"/>
    <w:rsid w:val="004A5ECB"/>
    <w:rsid w:val="004C23DF"/>
    <w:rsid w:val="005E233D"/>
    <w:rsid w:val="006C38F7"/>
    <w:rsid w:val="007A41D2"/>
    <w:rsid w:val="007D3E88"/>
    <w:rsid w:val="008422F4"/>
    <w:rsid w:val="00842511"/>
    <w:rsid w:val="008763B0"/>
    <w:rsid w:val="008C75A0"/>
    <w:rsid w:val="00961D09"/>
    <w:rsid w:val="00993CE6"/>
    <w:rsid w:val="00A62D5E"/>
    <w:rsid w:val="00A76588"/>
    <w:rsid w:val="00A84823"/>
    <w:rsid w:val="00AC3E46"/>
    <w:rsid w:val="00B4397D"/>
    <w:rsid w:val="00B552C7"/>
    <w:rsid w:val="00BD09E4"/>
    <w:rsid w:val="00C476FF"/>
    <w:rsid w:val="00CC26B2"/>
    <w:rsid w:val="00F521B7"/>
    <w:rsid w:val="00F522B5"/>
    <w:rsid w:val="00F62EC3"/>
    <w:rsid w:val="00FC6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5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7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76FF"/>
    <w:rPr>
      <w:sz w:val="18"/>
      <w:szCs w:val="18"/>
    </w:rPr>
  </w:style>
  <w:style w:type="paragraph" w:styleId="a4">
    <w:name w:val="footer"/>
    <w:basedOn w:val="a"/>
    <w:link w:val="Char0"/>
    <w:uiPriority w:val="99"/>
    <w:semiHidden/>
    <w:unhideWhenUsed/>
    <w:rsid w:val="00C476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76FF"/>
    <w:rPr>
      <w:sz w:val="18"/>
      <w:szCs w:val="18"/>
    </w:rPr>
  </w:style>
  <w:style w:type="paragraph" w:styleId="a5">
    <w:name w:val="Normal (Web)"/>
    <w:basedOn w:val="a"/>
    <w:uiPriority w:val="99"/>
    <w:unhideWhenUsed/>
    <w:rsid w:val="00C476FF"/>
    <w:pPr>
      <w:widowControl/>
      <w:spacing w:before="100" w:beforeAutospacing="1" w:after="100" w:afterAutospacing="1"/>
      <w:jc w:val="left"/>
    </w:pPr>
    <w:rPr>
      <w:rFonts w:ascii="宋体" w:eastAsia="宋体" w:hAnsi="宋体" w:cs="宋体"/>
      <w:kern w:val="0"/>
      <w:sz w:val="24"/>
      <w:szCs w:val="24"/>
    </w:rPr>
  </w:style>
  <w:style w:type="character" w:customStyle="1" w:styleId="topic1">
    <w:name w:val="topic1"/>
    <w:basedOn w:val="a0"/>
    <w:rsid w:val="00C476FF"/>
    <w:rPr>
      <w:rFonts w:ascii="ӗԲ" w:hAnsi="ӗԲ" w:hint="default"/>
      <w:b/>
      <w:bCs/>
      <w:color w:val="000033"/>
      <w:sz w:val="30"/>
      <w:szCs w:val="30"/>
    </w:rPr>
  </w:style>
  <w:style w:type="character" w:styleId="a6">
    <w:name w:val="Hyperlink"/>
    <w:basedOn w:val="a0"/>
    <w:uiPriority w:val="99"/>
    <w:semiHidden/>
    <w:unhideWhenUsed/>
    <w:rsid w:val="007A41D2"/>
    <w:rPr>
      <w:strike w:val="0"/>
      <w:dstrike w:val="0"/>
      <w:color w:val="000000"/>
      <w:sz w:val="21"/>
      <w:szCs w:val="21"/>
      <w:u w:val="none"/>
      <w:effect w:val="none"/>
    </w:rPr>
  </w:style>
  <w:style w:type="paragraph" w:styleId="a7">
    <w:name w:val="Plain Text"/>
    <w:basedOn w:val="a"/>
    <w:link w:val="Char1"/>
    <w:uiPriority w:val="99"/>
    <w:semiHidden/>
    <w:unhideWhenUsed/>
    <w:rsid w:val="00014F02"/>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7"/>
    <w:uiPriority w:val="99"/>
    <w:semiHidden/>
    <w:rsid w:val="00014F02"/>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065352">
      <w:bodyDiv w:val="1"/>
      <w:marLeft w:val="0"/>
      <w:marRight w:val="0"/>
      <w:marTop w:val="0"/>
      <w:marBottom w:val="0"/>
      <w:divBdr>
        <w:top w:val="none" w:sz="0" w:space="0" w:color="auto"/>
        <w:left w:val="none" w:sz="0" w:space="0" w:color="auto"/>
        <w:bottom w:val="none" w:sz="0" w:space="0" w:color="auto"/>
        <w:right w:val="none" w:sz="0" w:space="0" w:color="auto"/>
      </w:divBdr>
    </w:div>
    <w:div w:id="199317391">
      <w:bodyDiv w:val="1"/>
      <w:marLeft w:val="0"/>
      <w:marRight w:val="0"/>
      <w:marTop w:val="0"/>
      <w:marBottom w:val="0"/>
      <w:divBdr>
        <w:top w:val="none" w:sz="0" w:space="0" w:color="auto"/>
        <w:left w:val="none" w:sz="0" w:space="0" w:color="auto"/>
        <w:bottom w:val="none" w:sz="0" w:space="0" w:color="auto"/>
        <w:right w:val="none" w:sz="0" w:space="0" w:color="auto"/>
      </w:divBdr>
    </w:div>
    <w:div w:id="315573700">
      <w:bodyDiv w:val="1"/>
      <w:marLeft w:val="0"/>
      <w:marRight w:val="0"/>
      <w:marTop w:val="0"/>
      <w:marBottom w:val="0"/>
      <w:divBdr>
        <w:top w:val="none" w:sz="0" w:space="0" w:color="auto"/>
        <w:left w:val="none" w:sz="0" w:space="0" w:color="auto"/>
        <w:bottom w:val="none" w:sz="0" w:space="0" w:color="auto"/>
        <w:right w:val="none" w:sz="0" w:space="0" w:color="auto"/>
      </w:divBdr>
    </w:div>
    <w:div w:id="504320068">
      <w:bodyDiv w:val="1"/>
      <w:marLeft w:val="0"/>
      <w:marRight w:val="0"/>
      <w:marTop w:val="0"/>
      <w:marBottom w:val="0"/>
      <w:divBdr>
        <w:top w:val="none" w:sz="0" w:space="0" w:color="auto"/>
        <w:left w:val="none" w:sz="0" w:space="0" w:color="auto"/>
        <w:bottom w:val="none" w:sz="0" w:space="0" w:color="auto"/>
        <w:right w:val="none" w:sz="0" w:space="0" w:color="auto"/>
      </w:divBdr>
    </w:div>
    <w:div w:id="520582987">
      <w:bodyDiv w:val="1"/>
      <w:marLeft w:val="0"/>
      <w:marRight w:val="0"/>
      <w:marTop w:val="0"/>
      <w:marBottom w:val="0"/>
      <w:divBdr>
        <w:top w:val="none" w:sz="0" w:space="0" w:color="auto"/>
        <w:left w:val="none" w:sz="0" w:space="0" w:color="auto"/>
        <w:bottom w:val="none" w:sz="0" w:space="0" w:color="auto"/>
        <w:right w:val="none" w:sz="0" w:space="0" w:color="auto"/>
      </w:divBdr>
    </w:div>
    <w:div w:id="843596738">
      <w:bodyDiv w:val="1"/>
      <w:marLeft w:val="0"/>
      <w:marRight w:val="0"/>
      <w:marTop w:val="0"/>
      <w:marBottom w:val="0"/>
      <w:divBdr>
        <w:top w:val="none" w:sz="0" w:space="0" w:color="auto"/>
        <w:left w:val="none" w:sz="0" w:space="0" w:color="auto"/>
        <w:bottom w:val="none" w:sz="0" w:space="0" w:color="auto"/>
        <w:right w:val="none" w:sz="0" w:space="0" w:color="auto"/>
      </w:divBdr>
    </w:div>
    <w:div w:id="913126775">
      <w:bodyDiv w:val="1"/>
      <w:marLeft w:val="0"/>
      <w:marRight w:val="0"/>
      <w:marTop w:val="0"/>
      <w:marBottom w:val="0"/>
      <w:divBdr>
        <w:top w:val="none" w:sz="0" w:space="0" w:color="auto"/>
        <w:left w:val="none" w:sz="0" w:space="0" w:color="auto"/>
        <w:bottom w:val="none" w:sz="0" w:space="0" w:color="auto"/>
        <w:right w:val="none" w:sz="0" w:space="0" w:color="auto"/>
      </w:divBdr>
    </w:div>
    <w:div w:id="986395750">
      <w:bodyDiv w:val="1"/>
      <w:marLeft w:val="0"/>
      <w:marRight w:val="0"/>
      <w:marTop w:val="0"/>
      <w:marBottom w:val="0"/>
      <w:divBdr>
        <w:top w:val="none" w:sz="0" w:space="0" w:color="auto"/>
        <w:left w:val="none" w:sz="0" w:space="0" w:color="auto"/>
        <w:bottom w:val="none" w:sz="0" w:space="0" w:color="auto"/>
        <w:right w:val="none" w:sz="0" w:space="0" w:color="auto"/>
      </w:divBdr>
    </w:div>
    <w:div w:id="1113936450">
      <w:bodyDiv w:val="1"/>
      <w:marLeft w:val="0"/>
      <w:marRight w:val="0"/>
      <w:marTop w:val="0"/>
      <w:marBottom w:val="0"/>
      <w:divBdr>
        <w:top w:val="none" w:sz="0" w:space="0" w:color="auto"/>
        <w:left w:val="none" w:sz="0" w:space="0" w:color="auto"/>
        <w:bottom w:val="none" w:sz="0" w:space="0" w:color="auto"/>
        <w:right w:val="none" w:sz="0" w:space="0" w:color="auto"/>
      </w:divBdr>
    </w:div>
    <w:div w:id="1362627362">
      <w:bodyDiv w:val="1"/>
      <w:marLeft w:val="0"/>
      <w:marRight w:val="0"/>
      <w:marTop w:val="0"/>
      <w:marBottom w:val="0"/>
      <w:divBdr>
        <w:top w:val="none" w:sz="0" w:space="0" w:color="auto"/>
        <w:left w:val="none" w:sz="0" w:space="0" w:color="auto"/>
        <w:bottom w:val="none" w:sz="0" w:space="0" w:color="auto"/>
        <w:right w:val="none" w:sz="0" w:space="0" w:color="auto"/>
      </w:divBdr>
    </w:div>
    <w:div w:id="1467117777">
      <w:bodyDiv w:val="1"/>
      <w:marLeft w:val="0"/>
      <w:marRight w:val="0"/>
      <w:marTop w:val="0"/>
      <w:marBottom w:val="0"/>
      <w:divBdr>
        <w:top w:val="none" w:sz="0" w:space="0" w:color="auto"/>
        <w:left w:val="none" w:sz="0" w:space="0" w:color="auto"/>
        <w:bottom w:val="none" w:sz="0" w:space="0" w:color="auto"/>
        <w:right w:val="none" w:sz="0" w:space="0" w:color="auto"/>
      </w:divBdr>
    </w:div>
    <w:div w:id="1476799838">
      <w:bodyDiv w:val="1"/>
      <w:marLeft w:val="0"/>
      <w:marRight w:val="0"/>
      <w:marTop w:val="0"/>
      <w:marBottom w:val="0"/>
      <w:divBdr>
        <w:top w:val="none" w:sz="0" w:space="0" w:color="auto"/>
        <w:left w:val="none" w:sz="0" w:space="0" w:color="auto"/>
        <w:bottom w:val="none" w:sz="0" w:space="0" w:color="auto"/>
        <w:right w:val="none" w:sz="0" w:space="0" w:color="auto"/>
      </w:divBdr>
    </w:div>
    <w:div w:id="1552157171">
      <w:bodyDiv w:val="1"/>
      <w:marLeft w:val="0"/>
      <w:marRight w:val="0"/>
      <w:marTop w:val="0"/>
      <w:marBottom w:val="0"/>
      <w:divBdr>
        <w:top w:val="none" w:sz="0" w:space="0" w:color="auto"/>
        <w:left w:val="none" w:sz="0" w:space="0" w:color="auto"/>
        <w:bottom w:val="none" w:sz="0" w:space="0" w:color="auto"/>
        <w:right w:val="none" w:sz="0" w:space="0" w:color="auto"/>
      </w:divBdr>
    </w:div>
    <w:div w:id="1681008852">
      <w:bodyDiv w:val="1"/>
      <w:marLeft w:val="0"/>
      <w:marRight w:val="0"/>
      <w:marTop w:val="0"/>
      <w:marBottom w:val="0"/>
      <w:divBdr>
        <w:top w:val="none" w:sz="0" w:space="0" w:color="auto"/>
        <w:left w:val="none" w:sz="0" w:space="0" w:color="auto"/>
        <w:bottom w:val="none" w:sz="0" w:space="0" w:color="auto"/>
        <w:right w:val="none" w:sz="0" w:space="0" w:color="auto"/>
      </w:divBdr>
    </w:div>
    <w:div w:id="2020960684">
      <w:bodyDiv w:val="1"/>
      <w:marLeft w:val="0"/>
      <w:marRight w:val="0"/>
      <w:marTop w:val="0"/>
      <w:marBottom w:val="0"/>
      <w:divBdr>
        <w:top w:val="none" w:sz="0" w:space="0" w:color="auto"/>
        <w:left w:val="none" w:sz="0" w:space="0" w:color="auto"/>
        <w:bottom w:val="none" w:sz="0" w:space="0" w:color="auto"/>
        <w:right w:val="none" w:sz="0" w:space="0" w:color="auto"/>
      </w:divBdr>
    </w:div>
    <w:div w:id="20597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Words>
  <Characters>941</Characters>
  <Application>Microsoft Office Word</Application>
  <DocSecurity>0</DocSecurity>
  <Lines>7</Lines>
  <Paragraphs>2</Paragraphs>
  <ScaleCrop>false</ScaleCrop>
  <Company>Sky123.Org</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2014-02-28T05:37:00Z</dcterms:created>
  <dcterms:modified xsi:type="dcterms:W3CDTF">2014-02-28T05:37:00Z</dcterms:modified>
</cp:coreProperties>
</file>