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07" w:rsidRPr="00553A07" w:rsidRDefault="00553A07" w:rsidP="00553A07">
      <w:pPr>
        <w:widowControl/>
        <w:adjustRightInd w:val="0"/>
        <w:snapToGrid w:val="0"/>
        <w:jc w:val="center"/>
        <w:rPr>
          <w:rFonts w:ascii="方正小标宋简体" w:eastAsia="方正小标宋简体" w:hAnsi="微软雅黑" w:cs="宋体" w:hint="eastAsia"/>
          <w:color w:val="000000"/>
          <w:kern w:val="0"/>
          <w:sz w:val="44"/>
          <w:szCs w:val="44"/>
        </w:rPr>
      </w:pPr>
      <w:r w:rsidRPr="00553A07">
        <w:rPr>
          <w:rFonts w:ascii="方正小标宋简体" w:eastAsia="方正小标宋简体" w:hAnsi="微软雅黑" w:cs="宋体" w:hint="eastAsia"/>
          <w:color w:val="000000"/>
          <w:kern w:val="0"/>
          <w:sz w:val="44"/>
          <w:szCs w:val="44"/>
        </w:rPr>
        <w:t>2022年度决策咨询研究财政专项课题指南</w:t>
      </w:r>
    </w:p>
    <w:p w:rsidR="00553A07" w:rsidRPr="00B24E85" w:rsidRDefault="00553A07" w:rsidP="00553A07">
      <w:pPr>
        <w:widowControl/>
        <w:adjustRightInd w:val="0"/>
        <w:snapToGrid w:val="0"/>
        <w:ind w:firstLine="480"/>
        <w:jc w:val="left"/>
        <w:rPr>
          <w:rFonts w:ascii="微软雅黑" w:eastAsia="微软雅黑" w:hAnsi="微软雅黑" w:cs="宋体"/>
          <w:color w:val="000000"/>
          <w:kern w:val="0"/>
          <w:szCs w:val="21"/>
        </w:rPr>
      </w:pPr>
      <w:r w:rsidRPr="00B24E85">
        <w:rPr>
          <w:rFonts w:ascii="微软雅黑" w:eastAsia="微软雅黑" w:hAnsi="微软雅黑" w:cs="宋体" w:hint="eastAsia"/>
          <w:color w:val="000000"/>
          <w:kern w:val="0"/>
          <w:szCs w:val="21"/>
        </w:rPr>
        <w:t> </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b/>
          <w:bCs/>
          <w:color w:val="000000"/>
          <w:kern w:val="0"/>
          <w:sz w:val="32"/>
          <w:szCs w:val="32"/>
        </w:rPr>
        <w:t>一、课题目录</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b/>
          <w:bCs/>
          <w:color w:val="000000"/>
          <w:kern w:val="0"/>
          <w:sz w:val="32"/>
          <w:szCs w:val="32"/>
        </w:rPr>
        <w:t>（一）基于BEPS框架下的离岸贸易国际税制经验借鉴</w:t>
      </w:r>
      <w:bookmarkStart w:id="0" w:name="_GoBack"/>
      <w:bookmarkEnd w:id="0"/>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b/>
          <w:color w:val="000000"/>
          <w:kern w:val="0"/>
          <w:sz w:val="32"/>
          <w:szCs w:val="32"/>
        </w:rPr>
      </w:pPr>
      <w:r w:rsidRPr="00553A07">
        <w:rPr>
          <w:rFonts w:ascii="仿宋_GB2312" w:eastAsia="仿宋_GB2312" w:hAnsi="微软雅黑" w:cs="宋体" w:hint="eastAsia"/>
          <w:b/>
          <w:color w:val="000000"/>
          <w:kern w:val="0"/>
          <w:sz w:val="32"/>
          <w:szCs w:val="32"/>
        </w:rPr>
        <w:t>研究目的和要求：</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2020年11月，习近平总书记在浦东开发开放30周年庆祝大会上赋予浦东改革开放新的重大任务，明确提出要“增强全球资源配置能力，服务构建新发展格局”，“要发展更高能级的总部经济，统筹发展在岸业务和离岸业务，成为全球产业链供应链价值链的重要枢纽”，为推动本市离岸业务加快发展指明了路径和方向。深化离岸贸易税制问题研究，是临港新片区和浦东高水平改革开放重点探索的一项核心税制改革事项，对于本市做大国际贸易增量、推动贸易价值链中高端提升、增强全球资源配置能力、提升全球贸易市场话语权、定价权和规则制定权具有重要意义。</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为离岸贸易研究设计创新性的税收优惠政策安排同时，需要兼顾OECD关于税基侵蚀与利润转移（BEPS）项目的相关要求，力求形成既符合我国实际又契合国际规则的制度性研究成果。在此背景下，结合前期国家相关部委的指导意见，本课题旨在结合国际上相关离岸贸易税制安排和BEPS有关规定，研究形成离岸贸易国际税制借鉴经验成果以及适合本市特点的离岸贸易税收政策储备，为国家和本市层面开展相关改革创新提供参考借鉴。</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b/>
          <w:color w:val="000000"/>
          <w:kern w:val="0"/>
          <w:sz w:val="32"/>
          <w:szCs w:val="32"/>
        </w:rPr>
      </w:pPr>
      <w:r w:rsidRPr="00553A07">
        <w:rPr>
          <w:rFonts w:ascii="仿宋_GB2312" w:eastAsia="仿宋_GB2312" w:hAnsi="微软雅黑" w:cs="宋体" w:hint="eastAsia"/>
          <w:b/>
          <w:color w:val="000000"/>
          <w:kern w:val="0"/>
          <w:sz w:val="32"/>
          <w:szCs w:val="32"/>
        </w:rPr>
        <w:lastRenderedPageBreak/>
        <w:t>研究方向和内容包括但不限于以下方面：</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1. 全面梳理BEPS项目要点，对各类优惠方式遭遇国际组织判定为有害税制的可能性进行评估分析；</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2. 充分借鉴国际上实施离岸贸易税收优惠政策的类型，总结相关政策适应BEPS框架的有益经验；</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3. 结合我国实际，研究提出实施离岸贸易税制优惠的最佳政策路径，为完善税制提供决策参考。</w:t>
      </w:r>
    </w:p>
    <w:p w:rsidR="00553A07" w:rsidRDefault="00553A07" w:rsidP="00553A07">
      <w:pPr>
        <w:widowControl/>
        <w:adjustRightInd w:val="0"/>
        <w:snapToGrid w:val="0"/>
        <w:spacing w:line="360" w:lineRule="auto"/>
        <w:ind w:firstLine="480"/>
        <w:rPr>
          <w:rFonts w:ascii="仿宋_GB2312" w:eastAsia="仿宋_GB2312" w:hAnsi="微软雅黑" w:cs="宋体"/>
          <w:b/>
          <w:bCs/>
          <w:color w:val="000000"/>
          <w:kern w:val="0"/>
          <w:sz w:val="32"/>
          <w:szCs w:val="32"/>
        </w:rPr>
      </w:pP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b/>
          <w:bCs/>
          <w:color w:val="000000"/>
          <w:kern w:val="0"/>
          <w:sz w:val="32"/>
          <w:szCs w:val="32"/>
        </w:rPr>
        <w:t>（二）关于加强财政专项资金绩效管理的若干问题研究</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b/>
          <w:color w:val="000000"/>
          <w:kern w:val="0"/>
          <w:sz w:val="32"/>
          <w:szCs w:val="32"/>
        </w:rPr>
      </w:pPr>
      <w:r w:rsidRPr="00553A07">
        <w:rPr>
          <w:rFonts w:ascii="仿宋_GB2312" w:eastAsia="仿宋_GB2312" w:hAnsi="微软雅黑" w:cs="宋体" w:hint="eastAsia"/>
          <w:b/>
          <w:color w:val="000000"/>
          <w:kern w:val="0"/>
          <w:sz w:val="32"/>
          <w:szCs w:val="32"/>
        </w:rPr>
        <w:t>研究目的和要求：</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财政专项资金是指一定时期内由财政预算安排的具有专门用途和政策目标的项目支出，是落实市委、市政府重大决策部署和推进重点项目实施的重要保障。作为具有一定规模的公共财政资金，财政专项资金使用绩效一直是财政管理的重点内容之一，国家和本市关于全面实施预算绩效管理的制度文件均提出了指导意见，同时2021年12月本市印发相关管理办法对加强市级财政专项资金绩效管理提出了进一步工作要求。</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随着预算绩效管理改革的不断深化，本市在财政专项资金绩效管理方面进行了一些探索实践，取得了一定的工作成效。但是，由于涉及面广、管理链条长，本市财政专项资金绩效管理还存在顶层设计和制度体系不够完善、绩效目标指</w:t>
      </w:r>
      <w:r w:rsidRPr="00553A07">
        <w:rPr>
          <w:rFonts w:ascii="仿宋_GB2312" w:eastAsia="仿宋_GB2312" w:hAnsi="微软雅黑" w:cs="宋体" w:hint="eastAsia"/>
          <w:color w:val="000000"/>
          <w:kern w:val="0"/>
          <w:sz w:val="32"/>
          <w:szCs w:val="32"/>
        </w:rPr>
        <w:lastRenderedPageBreak/>
        <w:t>标和评价标准体系不够健全、绩效自评和评价机制不够完善、结果运用深度和广度不够等问题。在此背景下，本课题旨在系统研究加强财政专项资金绩效管理的思路和举措，为建立健全财政专项资金绩效管理制度和机制、加强专项资金绩效管理、推进提升资金管理使用绩效提供参考借鉴。</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b/>
          <w:color w:val="000000"/>
          <w:kern w:val="0"/>
          <w:sz w:val="32"/>
          <w:szCs w:val="32"/>
        </w:rPr>
      </w:pPr>
      <w:r w:rsidRPr="00553A07">
        <w:rPr>
          <w:rFonts w:ascii="仿宋_GB2312" w:eastAsia="仿宋_GB2312" w:hAnsi="微软雅黑" w:cs="宋体" w:hint="eastAsia"/>
          <w:b/>
          <w:color w:val="000000"/>
          <w:kern w:val="0"/>
          <w:sz w:val="32"/>
          <w:szCs w:val="32"/>
        </w:rPr>
        <w:t>研究方向和内容包括但不限于以下方面：</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1. 财政专项资金政策绩效管理的现状；</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2. 财政专项资金政策全过程绩效管理面临的问题和难点；</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3. 兄弟省市的经验做法和经典案例；</w:t>
      </w:r>
    </w:p>
    <w:p w:rsidR="00553A07" w:rsidRDefault="00553A07" w:rsidP="00553A07">
      <w:pPr>
        <w:widowControl/>
        <w:adjustRightInd w:val="0"/>
        <w:snapToGrid w:val="0"/>
        <w:spacing w:line="360" w:lineRule="auto"/>
        <w:ind w:firstLine="480"/>
        <w:rPr>
          <w:rFonts w:ascii="仿宋_GB2312" w:eastAsia="仿宋_GB2312" w:hAnsi="微软雅黑" w:cs="宋体"/>
          <w:color w:val="000000"/>
          <w:kern w:val="0"/>
          <w:sz w:val="32"/>
          <w:szCs w:val="32"/>
        </w:rPr>
      </w:pPr>
      <w:r w:rsidRPr="00553A07">
        <w:rPr>
          <w:rFonts w:ascii="仿宋_GB2312" w:eastAsia="仿宋_GB2312" w:hAnsi="微软雅黑" w:cs="宋体" w:hint="eastAsia"/>
          <w:color w:val="000000"/>
          <w:kern w:val="0"/>
          <w:sz w:val="32"/>
          <w:szCs w:val="32"/>
        </w:rPr>
        <w:t>4. 对下一步加强本市财政专项资金绩效管理的意见和建议。</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b/>
          <w:bCs/>
          <w:color w:val="000000"/>
          <w:kern w:val="0"/>
          <w:sz w:val="32"/>
          <w:szCs w:val="32"/>
        </w:rPr>
        <w:t>二、研究实施进度和经费使用要求</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b/>
          <w:color w:val="000000"/>
          <w:kern w:val="0"/>
          <w:sz w:val="32"/>
          <w:szCs w:val="32"/>
        </w:rPr>
      </w:pPr>
      <w:r w:rsidRPr="00553A07">
        <w:rPr>
          <w:rFonts w:ascii="仿宋_GB2312" w:eastAsia="仿宋_GB2312" w:hAnsi="微软雅黑" w:cs="宋体" w:hint="eastAsia"/>
          <w:b/>
          <w:color w:val="000000"/>
          <w:kern w:val="0"/>
          <w:sz w:val="32"/>
          <w:szCs w:val="32"/>
        </w:rPr>
        <w:t>1. 实施进度</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2022年9月中旬前，完成课题思路框架设计，形成开题报告，召开开题会。</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2022年10月中旬前，完成课题研究中期成果报告和相关专报，完成课题中期成果讨论。</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2022年11月上旬前，提交课题研究成果结题报告和相关专报。</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lastRenderedPageBreak/>
        <w:t>2022年11月底前，对课题研究成果进行专家评估评审，根据各方意见修改完善后，提交正式结题报告。</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b/>
          <w:color w:val="000000"/>
          <w:kern w:val="0"/>
          <w:sz w:val="32"/>
          <w:szCs w:val="32"/>
        </w:rPr>
      </w:pPr>
      <w:r w:rsidRPr="00553A07">
        <w:rPr>
          <w:rFonts w:ascii="仿宋_GB2312" w:eastAsia="仿宋_GB2312" w:hAnsi="微软雅黑" w:cs="宋体" w:hint="eastAsia"/>
          <w:b/>
          <w:color w:val="000000"/>
          <w:kern w:val="0"/>
          <w:sz w:val="32"/>
          <w:szCs w:val="32"/>
        </w:rPr>
        <w:t>2. 经费使用要求</w:t>
      </w:r>
    </w:p>
    <w:p w:rsidR="00553A07" w:rsidRPr="00553A07" w:rsidRDefault="00553A07" w:rsidP="00553A07">
      <w:pPr>
        <w:widowControl/>
        <w:adjustRightInd w:val="0"/>
        <w:snapToGrid w:val="0"/>
        <w:spacing w:line="360" w:lineRule="auto"/>
        <w:ind w:firstLine="480"/>
        <w:rPr>
          <w:rFonts w:ascii="仿宋_GB2312" w:eastAsia="仿宋_GB2312" w:hAnsi="微软雅黑" w:cs="宋体" w:hint="eastAsia"/>
          <w:color w:val="000000"/>
          <w:kern w:val="0"/>
          <w:sz w:val="32"/>
          <w:szCs w:val="32"/>
        </w:rPr>
      </w:pPr>
      <w:r w:rsidRPr="00553A07">
        <w:rPr>
          <w:rFonts w:ascii="仿宋_GB2312" w:eastAsia="仿宋_GB2312" w:hAnsi="微软雅黑" w:cs="宋体" w:hint="eastAsia"/>
          <w:color w:val="000000"/>
          <w:kern w:val="0"/>
          <w:sz w:val="32"/>
          <w:szCs w:val="32"/>
        </w:rPr>
        <w:t>劳务费占项目经费支出预算比例不超过50%。</w:t>
      </w:r>
    </w:p>
    <w:p w:rsidR="00553A07" w:rsidRPr="00553A07" w:rsidRDefault="00553A07" w:rsidP="00553A07">
      <w:pPr>
        <w:adjustRightInd w:val="0"/>
        <w:snapToGrid w:val="0"/>
        <w:spacing w:line="360" w:lineRule="auto"/>
        <w:rPr>
          <w:rFonts w:ascii="仿宋_GB2312" w:eastAsia="仿宋_GB2312" w:hint="eastAsia"/>
          <w:sz w:val="32"/>
          <w:szCs w:val="32"/>
        </w:rPr>
      </w:pPr>
    </w:p>
    <w:p w:rsidR="00553A07" w:rsidRPr="00553A07" w:rsidRDefault="00553A07" w:rsidP="00553A07">
      <w:pPr>
        <w:widowControl/>
        <w:spacing w:before="100" w:beforeAutospacing="1" w:after="100" w:afterAutospacing="1" w:line="360" w:lineRule="auto"/>
        <w:ind w:firstLine="480"/>
        <w:jc w:val="left"/>
        <w:rPr>
          <w:rFonts w:ascii="仿宋_GB2312" w:eastAsia="仿宋_GB2312" w:hAnsi="微软雅黑" w:cs="宋体" w:hint="eastAsia"/>
          <w:color w:val="000000"/>
          <w:kern w:val="0"/>
          <w:sz w:val="32"/>
          <w:szCs w:val="32"/>
        </w:rPr>
      </w:pPr>
    </w:p>
    <w:p w:rsidR="00303A9A" w:rsidRPr="00553A07" w:rsidRDefault="00303A9A" w:rsidP="00553A07">
      <w:pPr>
        <w:spacing w:line="360" w:lineRule="auto"/>
        <w:rPr>
          <w:rFonts w:ascii="仿宋_GB2312" w:eastAsia="仿宋_GB2312" w:hint="eastAsia"/>
          <w:sz w:val="32"/>
          <w:szCs w:val="32"/>
        </w:rPr>
      </w:pPr>
    </w:p>
    <w:sectPr w:rsidR="00303A9A" w:rsidRPr="00553A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C2C" w:rsidRDefault="00687C2C" w:rsidP="00553A07">
      <w:r>
        <w:separator/>
      </w:r>
    </w:p>
  </w:endnote>
  <w:endnote w:type="continuationSeparator" w:id="0">
    <w:p w:rsidR="00687C2C" w:rsidRDefault="00687C2C" w:rsidP="0055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C2C" w:rsidRDefault="00687C2C" w:rsidP="00553A07">
      <w:r>
        <w:separator/>
      </w:r>
    </w:p>
  </w:footnote>
  <w:footnote w:type="continuationSeparator" w:id="0">
    <w:p w:rsidR="00687C2C" w:rsidRDefault="00687C2C" w:rsidP="00553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AB"/>
    <w:rsid w:val="00303A9A"/>
    <w:rsid w:val="00553A07"/>
    <w:rsid w:val="00687C2C"/>
    <w:rsid w:val="007F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62BB63-9AD5-4E7E-B19E-FB491AE9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A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A07"/>
    <w:rPr>
      <w:sz w:val="18"/>
      <w:szCs w:val="18"/>
    </w:rPr>
  </w:style>
  <w:style w:type="paragraph" w:styleId="a4">
    <w:name w:val="footer"/>
    <w:basedOn w:val="a"/>
    <w:link w:val="Char0"/>
    <w:uiPriority w:val="99"/>
    <w:unhideWhenUsed/>
    <w:rsid w:val="00553A07"/>
    <w:pPr>
      <w:tabs>
        <w:tab w:val="center" w:pos="4153"/>
        <w:tab w:val="right" w:pos="8306"/>
      </w:tabs>
      <w:snapToGrid w:val="0"/>
      <w:jc w:val="left"/>
    </w:pPr>
    <w:rPr>
      <w:sz w:val="18"/>
      <w:szCs w:val="18"/>
    </w:rPr>
  </w:style>
  <w:style w:type="character" w:customStyle="1" w:styleId="Char0">
    <w:name w:val="页脚 Char"/>
    <w:basedOn w:val="a0"/>
    <w:link w:val="a4"/>
    <w:uiPriority w:val="99"/>
    <w:rsid w:val="00553A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2022-08-02T04:19:00Z</dcterms:created>
  <dcterms:modified xsi:type="dcterms:W3CDTF">2022-08-02T04:21:00Z</dcterms:modified>
</cp:coreProperties>
</file>