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rPr>
          <w:rFonts w:hint="eastAsia"/>
          <w:sz w:val="22"/>
          <w:szCs w:val="15"/>
        </w:rPr>
        <w:t>附件1</w:t>
      </w:r>
      <w:r>
        <w:rPr>
          <w:sz w:val="22"/>
          <w:szCs w:val="15"/>
        </w:rPr>
        <w:t xml:space="preserve"> </w:t>
      </w:r>
      <w:r>
        <w:rPr>
          <w:rFonts w:hint="eastAsia"/>
          <w:sz w:val="22"/>
          <w:szCs w:val="15"/>
          <w:lang w:val="en-US" w:eastAsia="zh-CN"/>
        </w:rPr>
        <w:t>上海对外经贸大学留学生信息管理系统网络安全测试及测评服务采购需求</w:t>
      </w:r>
    </w:p>
    <w:p>
      <w:pPr>
        <w:pStyle w:val="2"/>
        <w:numPr>
          <w:ilvl w:val="0"/>
          <w:numId w:val="3"/>
        </w:numPr>
      </w:pPr>
      <w:r>
        <w:rPr>
          <w:rFonts w:hint="eastAsia"/>
        </w:rPr>
        <w:t>项目基本情况</w:t>
      </w:r>
    </w:p>
    <w:p>
      <w:pPr>
        <w:numPr>
          <w:ilvl w:val="0"/>
          <w:numId w:val="4"/>
        </w:numPr>
        <w:tabs>
          <w:tab w:val="left" w:pos="140"/>
        </w:tabs>
        <w:spacing w:line="360" w:lineRule="auto"/>
        <w:rPr>
          <w:rFonts w:ascii="宋体" w:hAnsi="宋体" w:cs="宋体"/>
          <w:kern w:val="0"/>
          <w:szCs w:val="21"/>
        </w:rPr>
      </w:pPr>
      <w:r>
        <w:rPr>
          <w:rFonts w:hint="eastAsia" w:ascii="宋体" w:hAnsi="宋体" w:cs="宋体"/>
          <w:kern w:val="0"/>
          <w:szCs w:val="21"/>
        </w:rPr>
        <w:t>项目名称：留学生信息管理系统网络安全测试及测评服务</w:t>
      </w:r>
    </w:p>
    <w:p>
      <w:pPr>
        <w:numPr>
          <w:ilvl w:val="0"/>
          <w:numId w:val="4"/>
        </w:numPr>
        <w:tabs>
          <w:tab w:val="left" w:pos="140"/>
        </w:tabs>
        <w:spacing w:line="360" w:lineRule="auto"/>
        <w:rPr>
          <w:rFonts w:ascii="宋体" w:hAnsi="宋体" w:cs="宋体"/>
          <w:kern w:val="0"/>
          <w:szCs w:val="21"/>
        </w:rPr>
      </w:pPr>
      <w:r>
        <w:rPr>
          <w:rFonts w:hint="eastAsia" w:ascii="宋体" w:hAnsi="宋体" w:cs="宋体"/>
          <w:kern w:val="0"/>
          <w:szCs w:val="21"/>
        </w:rPr>
        <w:t>采购预算：本项目预算</w:t>
      </w:r>
      <w:r>
        <w:rPr>
          <w:rFonts w:ascii="宋体" w:hAnsi="宋体" w:cs="宋体"/>
          <w:kern w:val="0"/>
          <w:szCs w:val="21"/>
        </w:rPr>
        <w:t>9</w:t>
      </w:r>
      <w:r>
        <w:rPr>
          <w:rFonts w:hint="eastAsia" w:ascii="宋体" w:hAnsi="宋体" w:cs="宋体"/>
          <w:kern w:val="0"/>
          <w:szCs w:val="21"/>
        </w:rPr>
        <w:t>万元</w:t>
      </w:r>
    </w:p>
    <w:p>
      <w:pPr>
        <w:numPr>
          <w:ilvl w:val="0"/>
          <w:numId w:val="4"/>
        </w:numPr>
        <w:tabs>
          <w:tab w:val="left" w:pos="140"/>
        </w:tabs>
        <w:spacing w:line="360" w:lineRule="auto"/>
        <w:rPr>
          <w:rFonts w:ascii="宋体" w:hAnsi="宋体" w:cs="宋体"/>
          <w:kern w:val="0"/>
          <w:szCs w:val="21"/>
        </w:rPr>
      </w:pPr>
      <w:r>
        <w:rPr>
          <w:rFonts w:hint="eastAsia" w:ascii="宋体" w:hAnsi="宋体" w:cs="宋体"/>
          <w:kern w:val="0"/>
          <w:szCs w:val="21"/>
        </w:rPr>
        <w:t>采购主要内容：完成留学生信息管理系统的等级保护定级、备案、测评、整改；软件测试；安全测试；渗透性测试；漏洞扫描等服务（详情见第四项测评内容）</w:t>
      </w:r>
      <w:r>
        <w:rPr>
          <w:rFonts w:hint="eastAsia" w:ascii="宋体" w:hAnsi="宋体" w:cs="宋体"/>
          <w:kern w:val="0"/>
          <w:szCs w:val="21"/>
          <w:lang w:eastAsia="zh-CN"/>
        </w:rPr>
        <w:t>。</w:t>
      </w:r>
    </w:p>
    <w:p>
      <w:pPr>
        <w:pStyle w:val="2"/>
        <w:numPr>
          <w:ilvl w:val="0"/>
          <w:numId w:val="3"/>
        </w:numPr>
      </w:pPr>
      <w:r>
        <w:t>供应商资格条件</w:t>
      </w:r>
    </w:p>
    <w:p>
      <w:pPr>
        <w:numPr>
          <w:ilvl w:val="0"/>
          <w:numId w:val="5"/>
        </w:numPr>
        <w:tabs>
          <w:tab w:val="left" w:pos="140"/>
        </w:tabs>
        <w:spacing w:line="360" w:lineRule="auto"/>
        <w:rPr>
          <w:rFonts w:ascii="宋体" w:hAnsi="宋体" w:cs="宋体"/>
          <w:kern w:val="0"/>
          <w:szCs w:val="21"/>
        </w:rPr>
      </w:pPr>
      <w:r>
        <w:rPr>
          <w:rFonts w:hint="eastAsia" w:ascii="宋体" w:hAnsi="宋体" w:cs="宋体"/>
          <w:kern w:val="0"/>
          <w:szCs w:val="21"/>
        </w:rPr>
        <w:t>供应商须符合《中华人民共和国政府采购法》第二十二条的规定条件。</w:t>
      </w:r>
    </w:p>
    <w:p>
      <w:pPr>
        <w:numPr>
          <w:ilvl w:val="0"/>
          <w:numId w:val="5"/>
        </w:numPr>
        <w:tabs>
          <w:tab w:val="left" w:pos="140"/>
        </w:tabs>
        <w:spacing w:line="360" w:lineRule="auto"/>
        <w:rPr>
          <w:rFonts w:ascii="宋体" w:hAnsi="宋体" w:cs="宋体"/>
          <w:kern w:val="0"/>
          <w:szCs w:val="21"/>
        </w:rPr>
      </w:pPr>
      <w:r>
        <w:rPr>
          <w:rFonts w:hint="eastAsia" w:ascii="宋体" w:hAnsi="宋体" w:cs="宋体"/>
          <w:kern w:val="0"/>
          <w:szCs w:val="21"/>
        </w:rPr>
        <w:t>供应商须提供具有</w:t>
      </w:r>
      <w:r>
        <w:rPr>
          <w:rFonts w:ascii="宋体" w:hAnsi="宋体" w:cs="宋体"/>
          <w:kern w:val="0"/>
          <w:szCs w:val="21"/>
        </w:rPr>
        <w:t>信息安全等级测评与检测评估机构服务认证证书</w:t>
      </w:r>
      <w:r>
        <w:rPr>
          <w:rFonts w:hint="eastAsia" w:ascii="宋体" w:hAnsi="宋体" w:cs="宋体"/>
          <w:kern w:val="0"/>
          <w:szCs w:val="21"/>
        </w:rPr>
        <w:t>的测评机构开具的对于本系统的等级保护测评授权书和安全测试授权书。</w:t>
      </w:r>
    </w:p>
    <w:p>
      <w:pPr>
        <w:numPr>
          <w:ilvl w:val="0"/>
          <w:numId w:val="5"/>
        </w:numPr>
        <w:tabs>
          <w:tab w:val="left" w:pos="140"/>
        </w:tabs>
        <w:spacing w:line="360" w:lineRule="auto"/>
        <w:rPr>
          <w:rFonts w:ascii="宋体" w:hAnsi="宋体" w:cs="宋体"/>
          <w:kern w:val="0"/>
          <w:szCs w:val="21"/>
        </w:rPr>
      </w:pPr>
      <w:r>
        <w:rPr>
          <w:rFonts w:hint="eastAsia" w:ascii="宋体" w:hAnsi="宋体" w:cs="宋体"/>
          <w:kern w:val="0"/>
          <w:szCs w:val="21"/>
        </w:rPr>
        <w:t>供应商须提供具有</w:t>
      </w:r>
      <w:r>
        <w:t>国家认证认可监督管理委员会（CNCA）监制的检验检测机构资质认定证书（CMA）</w:t>
      </w:r>
      <w:r>
        <w:rPr>
          <w:rFonts w:hint="eastAsia"/>
        </w:rPr>
        <w:t>的检测机构</w:t>
      </w:r>
      <w:r>
        <w:rPr>
          <w:rFonts w:hint="eastAsia" w:ascii="宋体" w:hAnsi="宋体" w:cs="宋体"/>
          <w:kern w:val="0"/>
          <w:szCs w:val="21"/>
        </w:rPr>
        <w:t>开具的对于本系统的软件测试授权书。</w:t>
      </w:r>
    </w:p>
    <w:p>
      <w:pPr>
        <w:pStyle w:val="17"/>
        <w:numPr>
          <w:ilvl w:val="0"/>
          <w:numId w:val="5"/>
        </w:numPr>
        <w:spacing w:line="360" w:lineRule="auto"/>
        <w:ind w:firstLineChars="0"/>
      </w:pPr>
      <w:r>
        <w:rPr>
          <w:rFonts w:hint="eastAsia"/>
        </w:rPr>
        <w:t>供应商须提供不少于5个等级保护测评案例（非测评机构案例），提供合同证明。</w:t>
      </w:r>
    </w:p>
    <w:p>
      <w:pPr>
        <w:pStyle w:val="17"/>
        <w:numPr>
          <w:ilvl w:val="0"/>
          <w:numId w:val="5"/>
        </w:numPr>
        <w:spacing w:line="360" w:lineRule="auto"/>
        <w:ind w:firstLineChars="0"/>
      </w:pPr>
      <w:r>
        <w:rPr>
          <w:rFonts w:hint="eastAsia"/>
        </w:rPr>
        <w:t>供应商须有三名技术人员（非测评机构人员）具有网络安全等级测评师证书</w:t>
      </w:r>
      <w:r>
        <w:rPr>
          <w:rFonts w:hint="eastAsia"/>
          <w:lang w:eastAsia="zh-CN"/>
        </w:rPr>
        <w:t>。</w:t>
      </w:r>
    </w:p>
    <w:p>
      <w:pPr>
        <w:numPr>
          <w:ilvl w:val="0"/>
          <w:numId w:val="5"/>
        </w:numPr>
        <w:tabs>
          <w:tab w:val="left" w:pos="140"/>
        </w:tabs>
        <w:spacing w:line="360" w:lineRule="auto"/>
        <w:rPr>
          <w:rFonts w:ascii="宋体" w:hAnsi="宋体" w:cs="宋体"/>
          <w:kern w:val="0"/>
          <w:szCs w:val="21"/>
        </w:rPr>
      </w:pPr>
      <w:r>
        <w:rPr>
          <w:rFonts w:hint="eastAsia" w:ascii="宋体" w:hAnsi="宋体" w:cs="宋体"/>
          <w:kern w:val="0"/>
          <w:szCs w:val="21"/>
        </w:rPr>
        <w:t>供应商</w:t>
      </w:r>
      <w:r>
        <w:rPr>
          <w:rFonts w:ascii="宋体" w:hAnsi="宋体" w:cs="宋体"/>
          <w:kern w:val="0"/>
          <w:szCs w:val="21"/>
        </w:rPr>
        <w:t>在上海具有固定经营场所</w:t>
      </w:r>
      <w:r>
        <w:rPr>
          <w:rFonts w:hint="eastAsia" w:ascii="宋体" w:hAnsi="宋体" w:cs="宋体"/>
          <w:kern w:val="0"/>
          <w:szCs w:val="21"/>
        </w:rPr>
        <w:t>，须提供相关证明。</w:t>
      </w:r>
    </w:p>
    <w:p>
      <w:pPr>
        <w:pStyle w:val="2"/>
        <w:numPr>
          <w:ilvl w:val="0"/>
          <w:numId w:val="3"/>
        </w:numPr>
      </w:pPr>
      <w:r>
        <w:rPr>
          <w:rFonts w:hint="eastAsia"/>
        </w:rPr>
        <w:t>技术要求：</w:t>
      </w:r>
    </w:p>
    <w:p>
      <w:pPr>
        <w:numPr>
          <w:ilvl w:val="0"/>
          <w:numId w:val="6"/>
        </w:numPr>
        <w:tabs>
          <w:tab w:val="left" w:pos="140"/>
        </w:tabs>
        <w:spacing w:line="360" w:lineRule="auto"/>
        <w:rPr>
          <w:rFonts w:ascii="宋体" w:hAnsi="宋体" w:cs="宋体"/>
          <w:kern w:val="0"/>
          <w:szCs w:val="21"/>
        </w:rPr>
      </w:pPr>
      <w:r>
        <w:rPr>
          <w:rFonts w:hint="eastAsia" w:ascii="宋体" w:hAnsi="宋体" w:cs="宋体"/>
          <w:kern w:val="0"/>
          <w:szCs w:val="21"/>
        </w:rPr>
        <w:t>测评技术主要标准：《信息安全技术 网络安全等级保护基本要求》GB/T22239-2019、《信息安全技术 网络安全等级保护测评要求》GB/T 28448-2019。</w:t>
      </w:r>
    </w:p>
    <w:p>
      <w:pPr>
        <w:numPr>
          <w:ilvl w:val="0"/>
          <w:numId w:val="6"/>
        </w:numPr>
        <w:tabs>
          <w:tab w:val="left" w:pos="140"/>
        </w:tabs>
        <w:spacing w:line="360" w:lineRule="auto"/>
        <w:rPr>
          <w:rFonts w:ascii="宋体" w:hAnsi="宋体" w:cs="宋体"/>
          <w:kern w:val="0"/>
          <w:szCs w:val="21"/>
        </w:rPr>
      </w:pPr>
      <w:r>
        <w:rPr>
          <w:rFonts w:hint="eastAsia" w:ascii="宋体" w:hAnsi="宋体" w:cs="宋体"/>
          <w:kern w:val="0"/>
          <w:szCs w:val="21"/>
        </w:rPr>
        <w:t>软件测试主要标准：GB/T 25000.51-2016 《系统与软件工程系统与软件质量要求和评价(SQuaRE) 第51部分：就绪可用软件产品(RUSP)的质量要求和测试细则。</w:t>
      </w:r>
    </w:p>
    <w:p>
      <w:pPr>
        <w:pStyle w:val="19"/>
        <w:numPr>
          <w:ilvl w:val="0"/>
          <w:numId w:val="6"/>
        </w:numPr>
        <w:ind w:firstLineChars="0"/>
        <w:rPr>
          <w:rFonts w:hAnsi="宋体" w:cs="宋体"/>
          <w:sz w:val="21"/>
          <w:szCs w:val="21"/>
        </w:rPr>
      </w:pPr>
      <w:r>
        <w:rPr>
          <w:rFonts w:hint="eastAsia" w:hAnsi="宋体" w:cs="宋体"/>
          <w:sz w:val="21"/>
          <w:szCs w:val="21"/>
        </w:rPr>
        <w:t>渗透性测试标准：《PTES渗透测试执行标准》、《</w:t>
      </w:r>
      <w:r>
        <w:rPr>
          <w:rFonts w:hAnsi="宋体" w:cs="宋体"/>
          <w:sz w:val="21"/>
          <w:szCs w:val="21"/>
        </w:rPr>
        <w:t>OWASP测试指南</w:t>
      </w:r>
      <w:r>
        <w:rPr>
          <w:rFonts w:hint="eastAsia" w:hAnsi="宋体" w:cs="宋体"/>
          <w:sz w:val="21"/>
          <w:szCs w:val="21"/>
        </w:rPr>
        <w:t>V4.0》、《</w:t>
      </w:r>
      <w:r>
        <w:rPr>
          <w:rFonts w:hAnsi="宋体" w:cs="宋体"/>
          <w:sz w:val="21"/>
          <w:szCs w:val="21"/>
        </w:rPr>
        <w:t>OWASP Top 10</w:t>
      </w:r>
      <w:r>
        <w:rPr>
          <w:rFonts w:hint="eastAsia" w:hAnsi="宋体" w:cs="宋体"/>
          <w:sz w:val="21"/>
          <w:szCs w:val="21"/>
        </w:rPr>
        <w:t>-</w:t>
      </w:r>
      <w:r>
        <w:rPr>
          <w:rFonts w:hAnsi="宋体" w:cs="宋体"/>
          <w:sz w:val="21"/>
          <w:szCs w:val="21"/>
        </w:rPr>
        <w:t>2017</w:t>
      </w:r>
      <w:r>
        <w:rPr>
          <w:rFonts w:hint="eastAsia" w:hAnsi="宋体" w:cs="宋体"/>
          <w:sz w:val="21"/>
          <w:szCs w:val="21"/>
        </w:rPr>
        <w:t>》、《</w:t>
      </w:r>
      <w:r>
        <w:rPr>
          <w:rFonts w:hAnsi="宋体" w:cs="宋体"/>
          <w:sz w:val="21"/>
          <w:szCs w:val="21"/>
        </w:rPr>
        <w:t>GB/T 20984-2007信息安全技术</w:t>
      </w:r>
      <w:r>
        <w:rPr>
          <w:rFonts w:hint="eastAsia" w:hAnsi="宋体" w:cs="宋体"/>
          <w:sz w:val="21"/>
          <w:szCs w:val="21"/>
        </w:rPr>
        <w:t xml:space="preserve"> </w:t>
      </w:r>
      <w:r>
        <w:rPr>
          <w:rFonts w:hAnsi="宋体" w:cs="宋体"/>
          <w:sz w:val="21"/>
          <w:szCs w:val="21"/>
        </w:rPr>
        <w:t>信息安全风险评估规范</w:t>
      </w:r>
      <w:r>
        <w:rPr>
          <w:rFonts w:hint="eastAsia" w:hAnsi="宋体" w:cs="宋体"/>
          <w:sz w:val="21"/>
          <w:szCs w:val="21"/>
        </w:rPr>
        <w:t>》</w:t>
      </w:r>
      <w:r>
        <w:rPr>
          <w:rFonts w:hint="eastAsia" w:hAnsi="宋体" w:cs="宋体"/>
          <w:sz w:val="21"/>
          <w:szCs w:val="21"/>
          <w:lang w:eastAsia="zh-CN"/>
        </w:rPr>
        <w:t>。</w:t>
      </w:r>
    </w:p>
    <w:p>
      <w:pPr>
        <w:pStyle w:val="2"/>
        <w:numPr>
          <w:ilvl w:val="0"/>
          <w:numId w:val="3"/>
        </w:numPr>
        <w:rPr>
          <w:lang w:eastAsia="en-US"/>
        </w:rPr>
      </w:pPr>
      <w:r>
        <w:rPr>
          <w:rFonts w:hint="eastAsia"/>
          <w:lang w:eastAsia="en-US"/>
        </w:rPr>
        <w:t>测评内容</w:t>
      </w:r>
    </w:p>
    <w:p>
      <w:pPr>
        <w:numPr>
          <w:ilvl w:val="0"/>
          <w:numId w:val="7"/>
        </w:numPr>
        <w:tabs>
          <w:tab w:val="left" w:pos="140"/>
        </w:tabs>
        <w:spacing w:line="360" w:lineRule="auto"/>
        <w:rPr>
          <w:rFonts w:ascii="宋体" w:hAnsi="宋体" w:cs="宋体"/>
          <w:b/>
          <w:bCs/>
          <w:szCs w:val="21"/>
        </w:rPr>
      </w:pPr>
      <w:r>
        <w:rPr>
          <w:rFonts w:hint="eastAsia" w:ascii="宋体" w:hAnsi="宋体" w:cs="宋体"/>
          <w:b/>
          <w:bCs/>
          <w:szCs w:val="21"/>
        </w:rPr>
        <w:t>项目成果要求：</w:t>
      </w:r>
    </w:p>
    <w:p>
      <w:pPr>
        <w:numPr>
          <w:ilvl w:val="0"/>
          <w:numId w:val="8"/>
        </w:numPr>
        <w:tabs>
          <w:tab w:val="left" w:pos="140"/>
        </w:tabs>
        <w:spacing w:line="360" w:lineRule="auto"/>
        <w:ind w:left="425" w:hanging="425"/>
        <w:rPr>
          <w:rFonts w:ascii="宋体" w:hAnsi="宋体" w:cs="宋体"/>
          <w:szCs w:val="21"/>
        </w:rPr>
      </w:pPr>
      <w:r>
        <w:rPr>
          <w:rFonts w:hint="eastAsia" w:ascii="宋体" w:hAnsi="宋体" w:cs="宋体"/>
          <w:szCs w:val="21"/>
        </w:rPr>
        <w:t xml:space="preserve"> 帮助用户完成信息系统的定级、备案准备及相关流程手续工作。</w:t>
      </w:r>
    </w:p>
    <w:p>
      <w:pPr>
        <w:numPr>
          <w:ilvl w:val="0"/>
          <w:numId w:val="8"/>
        </w:numPr>
        <w:tabs>
          <w:tab w:val="left" w:pos="140"/>
        </w:tabs>
        <w:spacing w:line="360" w:lineRule="auto"/>
        <w:ind w:left="425" w:hanging="425"/>
      </w:pPr>
      <w:r>
        <w:rPr>
          <w:rFonts w:hint="eastAsia" w:ascii="宋体" w:hAnsi="宋体" w:cs="宋体"/>
          <w:szCs w:val="21"/>
        </w:rPr>
        <w:t xml:space="preserve"> 提交《信息系统网络安全等级保护整改建议》，对本次测评系统不符合网络安全等级保护有关管理规范和技术标准的，出具行之有效的整改方案，提供整改咨询，并完成整改项的再次测评服务。</w:t>
      </w:r>
    </w:p>
    <w:p>
      <w:pPr>
        <w:numPr>
          <w:ilvl w:val="0"/>
          <w:numId w:val="8"/>
        </w:numPr>
        <w:tabs>
          <w:tab w:val="left" w:pos="140"/>
        </w:tabs>
        <w:spacing w:line="360" w:lineRule="auto"/>
        <w:ind w:left="425" w:hanging="425"/>
      </w:pPr>
      <w:r>
        <w:rPr>
          <w:rFonts w:hint="eastAsia" w:ascii="宋体" w:hAnsi="宋体" w:cs="宋体"/>
          <w:szCs w:val="21"/>
        </w:rPr>
        <w:t xml:space="preserve"> 报价应包含所有相关费用，包含定级、整改、测评，并确保用户能够按照正常进度通过等保测评并获得公安机关颁发的备案证书，用户不承担因其他任何原因造成的费用追加。</w:t>
      </w:r>
    </w:p>
    <w:p>
      <w:pPr>
        <w:numPr>
          <w:ilvl w:val="0"/>
          <w:numId w:val="9"/>
        </w:numPr>
        <w:spacing w:line="360" w:lineRule="auto"/>
      </w:pPr>
      <w:r>
        <w:rPr>
          <w:rFonts w:hint="eastAsia"/>
        </w:rPr>
        <w:t>提交具有测评资质的测评机构出具的《留学生信息管理系统软件测评报告》，对不符合项进行整改，确保系统通过软件测评。</w:t>
      </w:r>
    </w:p>
    <w:p>
      <w:pPr>
        <w:spacing w:line="360" w:lineRule="auto"/>
      </w:pPr>
      <w:r>
        <w:rPr>
          <w:rFonts w:hint="eastAsia"/>
        </w:rPr>
        <w:t>5） 提交具有测评资质的测评机构出具的《留学生信息管理系统安全测试报告》，对不符合项进行整改，确保系统通过软件测评。</w:t>
      </w:r>
    </w:p>
    <w:p>
      <w:pPr>
        <w:spacing w:line="360" w:lineRule="auto"/>
      </w:pPr>
      <w:r>
        <w:rPr>
          <w:rFonts w:hint="eastAsia"/>
        </w:rPr>
        <w:t>6） 提交《留学生信息管理系统渗透性测试报告》、《留学生信息管理系统漏洞扫描报告》对高危漏洞进行整改，确保系统无高危漏洞。</w:t>
      </w:r>
    </w:p>
    <w:p>
      <w:pPr>
        <w:numPr>
          <w:ilvl w:val="0"/>
          <w:numId w:val="10"/>
        </w:numPr>
        <w:tabs>
          <w:tab w:val="left" w:pos="140"/>
        </w:tabs>
        <w:spacing w:line="360" w:lineRule="auto"/>
        <w:ind w:left="425" w:hanging="425"/>
        <w:rPr>
          <w:rFonts w:ascii="宋体" w:hAnsi="宋体" w:cs="宋体"/>
          <w:szCs w:val="21"/>
        </w:rPr>
      </w:pPr>
      <w:r>
        <w:rPr>
          <w:rFonts w:hint="eastAsia" w:ascii="宋体" w:hAnsi="宋体" w:cs="宋体"/>
          <w:szCs w:val="21"/>
        </w:rPr>
        <w:t xml:space="preserve"> 本项目需在项目地点开展现场测评，不得进行远程测评，非本地单位应自行解决测评的场地问题和费用问题。</w:t>
      </w:r>
    </w:p>
    <w:p>
      <w:pPr>
        <w:spacing w:line="360" w:lineRule="auto"/>
      </w:pPr>
      <w:r>
        <w:rPr>
          <w:rFonts w:hint="eastAsia"/>
        </w:rPr>
        <w:t>6） 原则上202</w:t>
      </w:r>
      <w:r>
        <w:t>4</w:t>
      </w:r>
      <w:r>
        <w:rPr>
          <w:rFonts w:hint="eastAsia"/>
        </w:rPr>
        <w:t>年</w:t>
      </w:r>
      <w:r>
        <w:t>4</w:t>
      </w:r>
      <w:r>
        <w:rPr>
          <w:rFonts w:hint="eastAsia"/>
        </w:rPr>
        <w:t>月</w:t>
      </w:r>
      <w:r>
        <w:t>3</w:t>
      </w:r>
      <w:r>
        <w:rPr>
          <w:rFonts w:hint="eastAsia"/>
          <w:lang w:val="en-US" w:eastAsia="zh-CN"/>
        </w:rPr>
        <w:t>0</w:t>
      </w:r>
      <w:r>
        <w:rPr>
          <w:rFonts w:hint="eastAsia"/>
        </w:rPr>
        <w:t>日前出具所有测评报告。</w:t>
      </w:r>
    </w:p>
    <w:p/>
    <w:p>
      <w:pPr>
        <w:numPr>
          <w:ilvl w:val="0"/>
          <w:numId w:val="7"/>
        </w:numPr>
        <w:tabs>
          <w:tab w:val="left" w:pos="140"/>
        </w:tabs>
        <w:spacing w:line="360" w:lineRule="auto"/>
        <w:rPr>
          <w:rFonts w:ascii="宋体" w:hAnsi="宋体" w:cs="宋体"/>
          <w:b/>
          <w:bCs/>
          <w:szCs w:val="21"/>
        </w:rPr>
      </w:pPr>
      <w:r>
        <w:rPr>
          <w:rFonts w:hint="eastAsia" w:ascii="宋体" w:hAnsi="宋体" w:cs="宋体"/>
          <w:b/>
          <w:bCs/>
          <w:szCs w:val="21"/>
        </w:rPr>
        <w:t>服务内容：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394"/>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r>
              <w:rPr>
                <w:rFonts w:hint="eastAsia"/>
              </w:rPr>
              <w:t>序号</w:t>
            </w:r>
          </w:p>
        </w:tc>
        <w:tc>
          <w:tcPr>
            <w:tcW w:w="4394" w:type="dxa"/>
          </w:tcPr>
          <w:p>
            <w:r>
              <w:rPr>
                <w:rFonts w:hint="eastAsia"/>
              </w:rPr>
              <w:t>服务内容</w:t>
            </w:r>
          </w:p>
        </w:tc>
        <w:tc>
          <w:tcPr>
            <w:tcW w:w="2977" w:type="dxa"/>
          </w:tcPr>
          <w:p>
            <w:pPr>
              <w:rPr>
                <w:rFonts w:hint="eastAsia"/>
              </w:rPr>
            </w:pPr>
            <w:r>
              <w:rPr>
                <w:rFonts w:hint="eastAsia"/>
              </w:rPr>
              <w:t>输出物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r>
              <w:rPr>
                <w:rFonts w:hint="eastAsia"/>
              </w:rPr>
              <w:t>1</w:t>
            </w:r>
          </w:p>
        </w:tc>
        <w:tc>
          <w:tcPr>
            <w:tcW w:w="4394" w:type="dxa"/>
          </w:tcPr>
          <w:p>
            <w:r>
              <w:rPr>
                <w:rFonts w:hint="eastAsia"/>
              </w:rPr>
              <w:t>等级保护测评（定级、预测评、整改、正式测评）</w:t>
            </w:r>
          </w:p>
        </w:tc>
        <w:tc>
          <w:tcPr>
            <w:tcW w:w="2977" w:type="dxa"/>
          </w:tcPr>
          <w:p>
            <w:pPr>
              <w:rPr>
                <w:rFonts w:hint="eastAsia"/>
              </w:rPr>
            </w:pPr>
            <w:r>
              <w:rPr>
                <w:rFonts w:hint="eastAsia"/>
              </w:rPr>
              <w:t>《留学生信息管理系统等级</w:t>
            </w:r>
            <w:r>
              <w:rPr>
                <w:rFonts w:hint="eastAsia"/>
                <w:lang w:eastAsia="zh-CN"/>
              </w:rPr>
              <w:t>保护</w:t>
            </w:r>
            <w:r>
              <w:rPr>
                <w:rFonts w:hint="eastAsia"/>
              </w:rPr>
              <w:t>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r>
              <w:rPr>
                <w:rFonts w:hint="eastAsia"/>
              </w:rPr>
              <w:t>2</w:t>
            </w:r>
          </w:p>
        </w:tc>
        <w:tc>
          <w:tcPr>
            <w:tcW w:w="4394" w:type="dxa"/>
          </w:tcPr>
          <w:p>
            <w:r>
              <w:rPr>
                <w:rFonts w:hint="eastAsia"/>
              </w:rPr>
              <w:t>软件测试（测试、整改）</w:t>
            </w:r>
          </w:p>
        </w:tc>
        <w:tc>
          <w:tcPr>
            <w:tcW w:w="2977" w:type="dxa"/>
          </w:tcPr>
          <w:p>
            <w:pPr>
              <w:rPr>
                <w:rFonts w:hint="eastAsia"/>
              </w:rPr>
            </w:pPr>
            <w:r>
              <w:rPr>
                <w:rFonts w:hint="eastAsia"/>
              </w:rPr>
              <w:t>《留学生信息管理系统软件测试报告》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hint="eastAsia"/>
              </w:rPr>
            </w:pPr>
            <w:r>
              <w:rPr>
                <w:rFonts w:hint="eastAsia"/>
              </w:rPr>
              <w:t>3</w:t>
            </w:r>
          </w:p>
        </w:tc>
        <w:tc>
          <w:tcPr>
            <w:tcW w:w="4394" w:type="dxa"/>
          </w:tcPr>
          <w:p>
            <w:pPr>
              <w:rPr>
                <w:rFonts w:hint="eastAsia"/>
              </w:rPr>
            </w:pPr>
            <w:r>
              <w:rPr>
                <w:rFonts w:hint="eastAsia"/>
              </w:rPr>
              <w:t>安全测试（测试、整改）</w:t>
            </w:r>
          </w:p>
        </w:tc>
        <w:tc>
          <w:tcPr>
            <w:tcW w:w="2977" w:type="dxa"/>
          </w:tcPr>
          <w:p>
            <w:pPr>
              <w:rPr>
                <w:rFonts w:hint="eastAsia"/>
              </w:rPr>
            </w:pPr>
            <w:r>
              <w:rPr>
                <w:rFonts w:hint="eastAsia"/>
              </w:rPr>
              <w:t>《留学生信息管理系统安全测试报告》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r>
              <w:rPr>
                <w:rFonts w:hint="eastAsia"/>
              </w:rPr>
              <w:t>3</w:t>
            </w:r>
          </w:p>
        </w:tc>
        <w:tc>
          <w:tcPr>
            <w:tcW w:w="4394" w:type="dxa"/>
          </w:tcPr>
          <w:p>
            <w:r>
              <w:rPr>
                <w:rFonts w:hint="eastAsia"/>
              </w:rPr>
              <w:t>渗透性测试（黑盒测试+白盒测试，整改高危漏洞）</w:t>
            </w:r>
          </w:p>
        </w:tc>
        <w:tc>
          <w:tcPr>
            <w:tcW w:w="2977" w:type="dxa"/>
          </w:tcPr>
          <w:p>
            <w:pPr>
              <w:rPr>
                <w:rFonts w:hint="eastAsia"/>
              </w:rPr>
            </w:pPr>
            <w:r>
              <w:rPr>
                <w:rFonts w:hint="eastAsia"/>
              </w:rPr>
              <w:t>《留学生信息管理系统渗透性测试报告》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r>
              <w:rPr>
                <w:rFonts w:hint="eastAsia"/>
              </w:rPr>
              <w:t>4</w:t>
            </w:r>
          </w:p>
        </w:tc>
        <w:tc>
          <w:tcPr>
            <w:tcW w:w="4394" w:type="dxa"/>
          </w:tcPr>
          <w:p>
            <w:r>
              <w:rPr>
                <w:rFonts w:hint="eastAsia"/>
              </w:rPr>
              <w:t>漏洞扫描（2种不同的设备或工具、整改高危漏洞）</w:t>
            </w:r>
          </w:p>
        </w:tc>
        <w:tc>
          <w:tcPr>
            <w:tcW w:w="2977" w:type="dxa"/>
          </w:tcPr>
          <w:p>
            <w:pPr>
              <w:rPr>
                <w:rFonts w:hint="eastAsia"/>
              </w:rPr>
            </w:pPr>
            <w:r>
              <w:rPr>
                <w:rFonts w:hint="eastAsia"/>
              </w:rPr>
              <w:t>《留学生信息管理系统漏洞扫描报告》</w:t>
            </w:r>
          </w:p>
        </w:tc>
      </w:tr>
    </w:tbl>
    <w:p/>
    <w:p>
      <w:pPr>
        <w:pStyle w:val="2"/>
        <w:numPr>
          <w:ilvl w:val="0"/>
          <w:numId w:val="3"/>
        </w:numPr>
        <w:rPr>
          <w:lang w:eastAsia="en-US"/>
        </w:rPr>
      </w:pPr>
      <w:r>
        <w:rPr>
          <w:rFonts w:hint="eastAsia"/>
          <w:lang w:eastAsia="en-US"/>
        </w:rPr>
        <w:t>评审办法</w:t>
      </w:r>
    </w:p>
    <w:p>
      <w:pPr>
        <w:tabs>
          <w:tab w:val="left" w:pos="140"/>
        </w:tabs>
        <w:spacing w:line="360" w:lineRule="auto"/>
        <w:rPr>
          <w:rFonts w:ascii="宋体" w:hAnsi="宋体" w:cs="宋体"/>
          <w:szCs w:val="21"/>
        </w:rPr>
      </w:pPr>
      <w:r>
        <w:rPr>
          <w:rFonts w:hint="eastAsia" w:ascii="宋体" w:hAnsi="宋体" w:cs="宋体"/>
          <w:b/>
          <w:bCs/>
          <w:szCs w:val="21"/>
          <w:lang w:eastAsia="zh-CN"/>
        </w:rPr>
        <w:t>（一）</w:t>
      </w:r>
      <w:r>
        <w:rPr>
          <w:rFonts w:hint="eastAsia" w:ascii="宋体" w:hAnsi="宋体" w:cs="宋体"/>
          <w:b/>
          <w:bCs/>
          <w:szCs w:val="21"/>
        </w:rPr>
        <w:t>评标依据和原则： </w:t>
      </w:r>
      <w:r>
        <w:rPr>
          <w:rFonts w:hint="eastAsia" w:ascii="宋体" w:hAnsi="宋体" w:cs="宋体"/>
          <w:szCs w:val="21"/>
        </w:rPr>
        <w:t>  </w:t>
      </w:r>
    </w:p>
    <w:p>
      <w:pPr>
        <w:tabs>
          <w:tab w:val="left" w:pos="140"/>
        </w:tabs>
        <w:spacing w:line="360" w:lineRule="auto"/>
        <w:rPr>
          <w:rFonts w:ascii="宋体" w:hAnsi="宋体" w:cs="宋体"/>
          <w:szCs w:val="21"/>
        </w:rPr>
      </w:pPr>
      <w:r>
        <w:rPr>
          <w:rFonts w:ascii="宋体" w:hAnsi="宋体" w:cs="宋体"/>
          <w:szCs w:val="21"/>
        </w:rPr>
        <w:t>1</w:t>
      </w:r>
      <w:r>
        <w:rPr>
          <w:rFonts w:hint="eastAsia" w:ascii="宋体" w:hAnsi="宋体" w:cs="宋体"/>
          <w:szCs w:val="21"/>
        </w:rPr>
        <w:t>、原则上采用最低价中标法，如若最低价不能中标应选择次低价中标，并说明充足理由；  </w:t>
      </w:r>
      <w:r>
        <w:rPr>
          <w:rFonts w:ascii="宋体" w:hAnsi="宋体" w:cs="宋体"/>
          <w:szCs w:val="21"/>
        </w:rPr>
        <w:t> </w:t>
      </w:r>
    </w:p>
    <w:p>
      <w:pPr>
        <w:tabs>
          <w:tab w:val="left" w:pos="140"/>
        </w:tabs>
        <w:spacing w:line="360" w:lineRule="auto"/>
        <w:rPr>
          <w:rFonts w:ascii="宋体" w:hAnsi="宋体" w:cs="宋体"/>
          <w:szCs w:val="21"/>
        </w:rPr>
      </w:pPr>
      <w:r>
        <w:rPr>
          <w:rFonts w:ascii="宋体" w:hAnsi="宋体" w:cs="宋体"/>
          <w:szCs w:val="21"/>
        </w:rPr>
        <w:t>2</w:t>
      </w:r>
      <w:r>
        <w:rPr>
          <w:rFonts w:hint="eastAsia" w:ascii="宋体" w:hAnsi="宋体" w:cs="宋体"/>
          <w:szCs w:val="21"/>
        </w:rPr>
        <w:t>、超出采购预算的报价视为无效报价，且有效报价必须大于或等于三家；  </w:t>
      </w:r>
      <w:r>
        <w:rPr>
          <w:rFonts w:ascii="宋体" w:hAnsi="宋体" w:cs="宋体"/>
          <w:szCs w:val="21"/>
        </w:rPr>
        <w:t> </w:t>
      </w:r>
    </w:p>
    <w:p>
      <w:pPr>
        <w:tabs>
          <w:tab w:val="left" w:pos="140"/>
        </w:tabs>
        <w:spacing w:line="360" w:lineRule="auto"/>
        <w:rPr>
          <w:rFonts w:hint="eastAsia" w:ascii="宋体" w:hAnsi="宋体" w:cs="宋体"/>
          <w:szCs w:val="21"/>
        </w:rPr>
      </w:pPr>
      <w:r>
        <w:rPr>
          <w:rFonts w:ascii="宋体" w:hAnsi="宋体" w:cs="宋体"/>
          <w:szCs w:val="21"/>
        </w:rPr>
        <w:t>3</w:t>
      </w:r>
      <w:r>
        <w:rPr>
          <w:rFonts w:hint="eastAsia" w:ascii="宋体" w:hAnsi="宋体" w:cs="宋体"/>
          <w:szCs w:val="21"/>
        </w:rPr>
        <w:t>、提交报价单的单位视为能满足项目全部需求，对于恶意低价中标无法保证履约产品和服务质量的供应商，学校将该单位列入黑名单，</w:t>
      </w:r>
      <w:r>
        <w:rPr>
          <w:rFonts w:ascii="宋体" w:hAnsi="宋体" w:cs="宋体"/>
          <w:szCs w:val="21"/>
        </w:rPr>
        <w:t>3</w:t>
      </w:r>
      <w:r>
        <w:rPr>
          <w:rFonts w:hint="eastAsia" w:ascii="宋体" w:hAnsi="宋体" w:cs="宋体"/>
          <w:szCs w:val="21"/>
        </w:rPr>
        <w:t>年内不得参与我校的所有采购项目。  </w:t>
      </w:r>
      <w:bookmarkStart w:id="0" w:name="_GoBack"/>
      <w:bookmarkEnd w:id="0"/>
    </w:p>
    <w:p>
      <w:pPr>
        <w:tabs>
          <w:tab w:val="left" w:pos="140"/>
        </w:tabs>
        <w:spacing w:line="360" w:lineRule="auto"/>
        <w:rPr>
          <w:rFonts w:ascii="宋体" w:hAnsi="宋体" w:cs="宋体"/>
          <w:szCs w:val="21"/>
        </w:rPr>
      </w:pPr>
      <w:r>
        <w:rPr>
          <w:rFonts w:ascii="宋体" w:hAnsi="宋体" w:cs="宋体"/>
          <w:szCs w:val="21"/>
        </w:rPr>
        <w:t>   </w:t>
      </w:r>
    </w:p>
    <w:p>
      <w:pPr>
        <w:tabs>
          <w:tab w:val="left" w:pos="140"/>
        </w:tabs>
        <w:spacing w:line="360" w:lineRule="auto"/>
        <w:rPr>
          <w:rFonts w:hint="eastAsia" w:ascii="宋体" w:hAnsi="宋体" w:cs="宋体"/>
          <w:b/>
          <w:bCs/>
          <w:szCs w:val="21"/>
          <w:lang w:eastAsia="zh-CN"/>
        </w:rPr>
      </w:pPr>
      <w:r>
        <w:rPr>
          <w:rFonts w:hint="eastAsia" w:ascii="宋体" w:hAnsi="宋体" w:cs="宋体"/>
          <w:b/>
          <w:bCs/>
          <w:szCs w:val="21"/>
          <w:lang w:eastAsia="zh-CN"/>
        </w:rPr>
        <w:t>（二）报价要求及提供材料</w:t>
      </w:r>
    </w:p>
    <w:p>
      <w:pPr>
        <w:tabs>
          <w:tab w:val="left" w:pos="140"/>
        </w:tabs>
        <w:spacing w:line="360" w:lineRule="auto"/>
        <w:rPr>
          <w:rFonts w:ascii="宋体" w:hAnsi="宋体" w:cs="宋体"/>
          <w:szCs w:val="21"/>
        </w:rPr>
      </w:pPr>
      <w:r>
        <w:rPr>
          <w:rFonts w:ascii="宋体" w:hAnsi="宋体" w:cs="宋体"/>
          <w:szCs w:val="21"/>
        </w:rPr>
        <w:t>1</w:t>
      </w:r>
      <w:r>
        <w:rPr>
          <w:rFonts w:hint="eastAsia" w:ascii="宋体" w:hAnsi="宋体" w:cs="宋体"/>
          <w:szCs w:val="21"/>
        </w:rPr>
        <w:t>、提供投标人营业执照（复印件，加盖公章）。</w:t>
      </w:r>
    </w:p>
    <w:p>
      <w:pPr>
        <w:tabs>
          <w:tab w:val="left" w:pos="140"/>
        </w:tabs>
        <w:spacing w:line="360" w:lineRule="auto"/>
        <w:rPr>
          <w:rFonts w:ascii="宋体" w:hAnsi="宋体" w:cs="宋体"/>
          <w:szCs w:val="21"/>
        </w:rPr>
      </w:pPr>
      <w:r>
        <w:rPr>
          <w:rFonts w:ascii="宋体" w:hAnsi="宋体" w:cs="宋体"/>
          <w:szCs w:val="21"/>
        </w:rPr>
        <w:t>2</w:t>
      </w:r>
      <w:r>
        <w:rPr>
          <w:rFonts w:hint="eastAsia" w:ascii="宋体" w:hAnsi="宋体" w:cs="宋体"/>
          <w:szCs w:val="21"/>
        </w:rPr>
        <w:t>、密封报价单（加盖公章）。</w:t>
      </w:r>
    </w:p>
    <w:p>
      <w:pPr>
        <w:tabs>
          <w:tab w:val="left" w:pos="140"/>
        </w:tabs>
        <w:spacing w:line="360" w:lineRule="auto"/>
        <w:rPr>
          <w:rFonts w:ascii="宋体" w:hAnsi="宋体" w:cs="宋体"/>
          <w:szCs w:val="21"/>
        </w:rPr>
      </w:pPr>
      <w:r>
        <w:rPr>
          <w:rFonts w:ascii="宋体" w:hAnsi="宋体" w:cs="宋体"/>
          <w:szCs w:val="21"/>
        </w:rPr>
        <w:t>3</w:t>
      </w:r>
      <w:r>
        <w:rPr>
          <w:rFonts w:hint="eastAsia" w:ascii="宋体" w:hAnsi="宋体" w:cs="宋体"/>
          <w:szCs w:val="21"/>
        </w:rPr>
        <w:t>、供应商认为有必要提供的其他材料。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57FA0"/>
    <w:multiLevelType w:val="singleLevel"/>
    <w:tmpl w:val="B5857FA0"/>
    <w:lvl w:ilvl="0" w:tentative="0">
      <w:start w:val="1"/>
      <w:numFmt w:val="decimal"/>
      <w:lvlText w:val="%1."/>
      <w:lvlJc w:val="left"/>
      <w:pPr>
        <w:ind w:left="425" w:hanging="425"/>
      </w:pPr>
      <w:rPr>
        <w:rFonts w:hint="default"/>
        <w:b/>
        <w:bCs/>
      </w:rPr>
    </w:lvl>
  </w:abstractNum>
  <w:abstractNum w:abstractNumId="1">
    <w:nsid w:val="CDDC3374"/>
    <w:multiLevelType w:val="singleLevel"/>
    <w:tmpl w:val="CDDC3374"/>
    <w:lvl w:ilvl="0" w:tentative="0">
      <w:start w:val="1"/>
      <w:numFmt w:val="chineseCounting"/>
      <w:suff w:val="space"/>
      <w:lvlText w:val="%1．"/>
      <w:lvlJc w:val="left"/>
      <w:rPr>
        <w:rFonts w:hint="eastAsia"/>
      </w:rPr>
    </w:lvl>
  </w:abstractNum>
  <w:abstractNum w:abstractNumId="2">
    <w:nsid w:val="D3799FEF"/>
    <w:multiLevelType w:val="singleLevel"/>
    <w:tmpl w:val="D3799FEF"/>
    <w:lvl w:ilvl="0" w:tentative="0">
      <w:start w:val="1"/>
      <w:numFmt w:val="decimal"/>
      <w:lvlText w:val="%1."/>
      <w:lvlJc w:val="left"/>
      <w:pPr>
        <w:ind w:left="425" w:hanging="425"/>
      </w:pPr>
      <w:rPr>
        <w:rFonts w:hint="default"/>
        <w:b/>
        <w:bCs/>
      </w:rPr>
    </w:lvl>
  </w:abstractNum>
  <w:abstractNum w:abstractNumId="3">
    <w:nsid w:val="16C7F54E"/>
    <w:multiLevelType w:val="singleLevel"/>
    <w:tmpl w:val="16C7F54E"/>
    <w:lvl w:ilvl="0" w:tentative="0">
      <w:start w:val="4"/>
      <w:numFmt w:val="decimal"/>
      <w:suff w:val="space"/>
      <w:lvlText w:val="%1）"/>
      <w:lvlJc w:val="left"/>
    </w:lvl>
  </w:abstractNum>
  <w:abstractNum w:abstractNumId="4">
    <w:nsid w:val="4419B7B6"/>
    <w:multiLevelType w:val="singleLevel"/>
    <w:tmpl w:val="4419B7B6"/>
    <w:lvl w:ilvl="0" w:tentative="0">
      <w:start w:val="5"/>
      <w:numFmt w:val="decimal"/>
      <w:suff w:val="space"/>
      <w:lvlText w:val="%1)"/>
      <w:lvlJc w:val="left"/>
    </w:lvl>
  </w:abstractNum>
  <w:abstractNum w:abstractNumId="5">
    <w:nsid w:val="44C0602D"/>
    <w:multiLevelType w:val="singleLevel"/>
    <w:tmpl w:val="44C0602D"/>
    <w:lvl w:ilvl="0" w:tentative="0">
      <w:start w:val="1"/>
      <w:numFmt w:val="decimal"/>
      <w:suff w:val="space"/>
      <w:lvlText w:val="%1)"/>
      <w:lvlJc w:val="left"/>
    </w:lvl>
  </w:abstractNum>
  <w:abstractNum w:abstractNumId="6">
    <w:nsid w:val="4E4618FB"/>
    <w:multiLevelType w:val="singleLevel"/>
    <w:tmpl w:val="4E4618FB"/>
    <w:lvl w:ilvl="0" w:tentative="0">
      <w:start w:val="1"/>
      <w:numFmt w:val="decimal"/>
      <w:lvlText w:val="%1."/>
      <w:lvlJc w:val="left"/>
      <w:pPr>
        <w:ind w:left="425" w:hanging="425"/>
      </w:pPr>
      <w:rPr>
        <w:rFonts w:hint="default"/>
        <w:b/>
        <w:bCs/>
      </w:rPr>
    </w:lvl>
  </w:abstractNum>
  <w:abstractNum w:abstractNumId="7">
    <w:nsid w:val="4E880C0A"/>
    <w:multiLevelType w:val="multilevel"/>
    <w:tmpl w:val="4E880C0A"/>
    <w:lvl w:ilvl="0" w:tentative="0">
      <w:start w:val="1"/>
      <w:numFmt w:val="decimal"/>
      <w:pStyle w:val="20"/>
      <w:isLgl/>
      <w:suff w:val="space"/>
      <w:lvlText w:val="%1."/>
      <w:lvlJc w:val="left"/>
      <w:pPr>
        <w:ind w:left="425" w:hanging="425"/>
      </w:pPr>
      <w:rPr>
        <w:rFonts w:hint="eastAsia" w:ascii="黑体" w:hAnsi="黑体" w:eastAsia="黑体" w:cs="Times New Roman"/>
      </w:rPr>
    </w:lvl>
    <w:lvl w:ilvl="1" w:tentative="0">
      <w:start w:val="1"/>
      <w:numFmt w:val="decimal"/>
      <w:pStyle w:val="22"/>
      <w:isLgl/>
      <w:suff w:val="space"/>
      <w:lvlText w:val="%1.%2."/>
      <w:lvlJc w:val="left"/>
      <w:pPr>
        <w:ind w:left="851" w:hanging="851"/>
      </w:pPr>
      <w:rPr>
        <w:rFonts w:hint="eastAsia" w:ascii="黑体" w:hAnsi="黑体" w:eastAsia="黑体" w:cs="Times New Roman"/>
      </w:rPr>
    </w:lvl>
    <w:lvl w:ilvl="2" w:tentative="0">
      <w:start w:val="1"/>
      <w:numFmt w:val="decimal"/>
      <w:pStyle w:val="21"/>
      <w:isLgl/>
      <w:suff w:val="space"/>
      <w:lvlText w:val="%1.%2.%3."/>
      <w:lvlJc w:val="left"/>
      <w:pPr>
        <w:ind w:left="1219" w:hanging="1219"/>
      </w:pPr>
      <w:rPr>
        <w:rFonts w:hint="eastAsia"/>
        <w:b/>
        <w:bCs/>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4"/>
      <w:isLgl/>
      <w:suff w:val="space"/>
      <w:lvlText w:val="%1.%2.%3.%4."/>
      <w:lvlJc w:val="left"/>
      <w:pPr>
        <w:ind w:left="1701" w:hanging="1701"/>
      </w:pPr>
      <w:rPr>
        <w:rFonts w:hint="eastAsia" w:ascii="黑体" w:hAnsi="黑体" w:eastAsia="黑体" w:cs="Times New Roman"/>
      </w:rPr>
    </w:lvl>
    <w:lvl w:ilvl="4" w:tentative="0">
      <w:start w:val="1"/>
      <w:numFmt w:val="decimal"/>
      <w:pStyle w:val="23"/>
      <w:suff w:val="space"/>
      <w:lvlText w:val="%1.%2.%3.%4.%5."/>
      <w:lvlJc w:val="left"/>
      <w:pPr>
        <w:ind w:left="2126" w:hanging="2126"/>
      </w:pPr>
      <w:rPr>
        <w:rFonts w:hint="eastAsia" w:ascii="黑体" w:hAnsi="黑体" w:eastAsia="黑体" w:cs="Times New Roman"/>
      </w:rPr>
    </w:lvl>
    <w:lvl w:ilvl="5" w:tentative="0">
      <w:start w:val="1"/>
      <w:numFmt w:val="decimal"/>
      <w:suff w:val="space"/>
      <w:lvlText w:val="%1.%2.%3.%4.%5.%6."/>
      <w:lvlJc w:val="left"/>
      <w:pPr>
        <w:ind w:left="2552" w:hanging="2552"/>
      </w:pPr>
      <w:rPr>
        <w:rFonts w:hint="eastAsia" w:cs="Times New Roman"/>
      </w:rPr>
    </w:lvl>
    <w:lvl w:ilvl="6" w:tentative="0">
      <w:start w:val="1"/>
      <w:numFmt w:val="decimal"/>
      <w:lvlText w:val="%1.%2.%3.%4.%5.%6.%7."/>
      <w:lvlJc w:val="left"/>
      <w:pPr>
        <w:tabs>
          <w:tab w:val="left" w:pos="2160"/>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2520"/>
        </w:tabs>
        <w:ind w:left="1559" w:hanging="1559"/>
      </w:pPr>
      <w:rPr>
        <w:rFonts w:hint="eastAsia" w:cs="Times New Roman"/>
      </w:rPr>
    </w:lvl>
  </w:abstractNum>
  <w:abstractNum w:abstractNumId="8">
    <w:nsid w:val="50644AEA"/>
    <w:multiLevelType w:val="singleLevel"/>
    <w:tmpl w:val="50644AEA"/>
    <w:lvl w:ilvl="0" w:tentative="0">
      <w:start w:val="1"/>
      <w:numFmt w:val="decimal"/>
      <w:lvlText w:val="%1."/>
      <w:lvlJc w:val="left"/>
      <w:pPr>
        <w:ind w:left="425" w:hanging="425"/>
      </w:pPr>
      <w:rPr>
        <w:rFonts w:hint="default"/>
        <w:b/>
        <w:bCs/>
      </w:rPr>
    </w:lvl>
  </w:abstractNum>
  <w:abstractNum w:abstractNumId="9">
    <w:nsid w:val="74344862"/>
    <w:multiLevelType w:val="multilevel"/>
    <w:tmpl w:val="74344862"/>
    <w:lvl w:ilvl="0" w:tentative="0">
      <w:start w:val="1"/>
      <w:numFmt w:val="decimal"/>
      <w:isLgl/>
      <w:lvlText w:val="%1."/>
      <w:lvlJc w:val="left"/>
      <w:pPr>
        <w:tabs>
          <w:tab w:val="left" w:pos="360"/>
        </w:tabs>
        <w:ind w:left="0" w:firstLine="0"/>
      </w:pPr>
      <w:rPr>
        <w:rFonts w:hint="default" w:ascii="Arial" w:hAnsi="Arial"/>
        <w:b/>
        <w:i w:val="0"/>
        <w:sz w:val="28"/>
        <w:szCs w:val="28"/>
      </w:rPr>
    </w:lvl>
    <w:lvl w:ilvl="1" w:tentative="0">
      <w:start w:val="1"/>
      <w:numFmt w:val="decimal"/>
      <w:pStyle w:val="2"/>
      <w:lvlText w:val="%1.%2."/>
      <w:lvlJc w:val="left"/>
      <w:pPr>
        <w:tabs>
          <w:tab w:val="left" w:pos="1440"/>
        </w:tabs>
        <w:ind w:left="128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9"/>
  </w:num>
  <w:num w:numId="2">
    <w:abstractNumId w:val="7"/>
  </w:num>
  <w:num w:numId="3">
    <w:abstractNumId w:val="1"/>
  </w:num>
  <w:num w:numId="4">
    <w:abstractNumId w:val="0"/>
  </w:num>
  <w:num w:numId="5">
    <w:abstractNumId w:val="8"/>
  </w:num>
  <w:num w:numId="6">
    <w:abstractNumId w:val="6"/>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kNDhhNTc4NjMwMjRkYjkyMDc1MzJhYmE0YmU4YjMifQ=="/>
  </w:docVars>
  <w:rsids>
    <w:rsidRoot w:val="3AF965DA"/>
    <w:rsid w:val="00570BE3"/>
    <w:rsid w:val="006143BA"/>
    <w:rsid w:val="00621E18"/>
    <w:rsid w:val="00632E3F"/>
    <w:rsid w:val="00656AF8"/>
    <w:rsid w:val="006F0BA3"/>
    <w:rsid w:val="008A0E73"/>
    <w:rsid w:val="008B447D"/>
    <w:rsid w:val="009B00FE"/>
    <w:rsid w:val="00A32C12"/>
    <w:rsid w:val="00B268E1"/>
    <w:rsid w:val="00C515C4"/>
    <w:rsid w:val="00CF0EF4"/>
    <w:rsid w:val="00D27604"/>
    <w:rsid w:val="00D36FE3"/>
    <w:rsid w:val="00D57061"/>
    <w:rsid w:val="00D66823"/>
    <w:rsid w:val="00D8662E"/>
    <w:rsid w:val="00E34A0D"/>
    <w:rsid w:val="00E755FC"/>
    <w:rsid w:val="00EF1976"/>
    <w:rsid w:val="00FB7C9B"/>
    <w:rsid w:val="0146421C"/>
    <w:rsid w:val="046F45F0"/>
    <w:rsid w:val="05211FDE"/>
    <w:rsid w:val="08A313E5"/>
    <w:rsid w:val="16104199"/>
    <w:rsid w:val="187529D9"/>
    <w:rsid w:val="2FB41BE1"/>
    <w:rsid w:val="39A607ED"/>
    <w:rsid w:val="3AF965DA"/>
    <w:rsid w:val="3E5A1BA6"/>
    <w:rsid w:val="44B50841"/>
    <w:rsid w:val="44BF09B5"/>
    <w:rsid w:val="46B17815"/>
    <w:rsid w:val="46B67B95"/>
    <w:rsid w:val="47DA119C"/>
    <w:rsid w:val="49845D29"/>
    <w:rsid w:val="4A4C4A99"/>
    <w:rsid w:val="4CE23492"/>
    <w:rsid w:val="51294DE6"/>
    <w:rsid w:val="690A1FCE"/>
    <w:rsid w:val="6BBB1626"/>
    <w:rsid w:val="6C9360FF"/>
    <w:rsid w:val="6E440035"/>
    <w:rsid w:val="737722D7"/>
    <w:rsid w:val="77002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4"/>
    <w:basedOn w:val="1"/>
    <w:next w:val="1"/>
    <w:link w:val="2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toc 1"/>
    <w:basedOn w:val="1"/>
    <w:next w:val="1"/>
    <w:unhideWhenUsed/>
    <w:qFormat/>
    <w:uiPriority w:val="39"/>
    <w:pPr>
      <w:spacing w:before="120" w:after="120" w:line="360" w:lineRule="auto"/>
      <w:jc w:val="left"/>
    </w:pPr>
    <w:rPr>
      <w:rFonts w:ascii="黑体" w:eastAsia="黑体" w:hAnsiTheme="minorHAnsi" w:cstheme="minorBidi"/>
      <w:b/>
      <w:bCs/>
      <w:caps/>
      <w:sz w:val="24"/>
      <w:szCs w:val="20"/>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pPr>
      <w:autoSpaceDE w:val="0"/>
      <w:autoSpaceDN w:val="0"/>
    </w:pPr>
    <w:rPr>
      <w:rFonts w:ascii="宋体" w:hAnsi="宋体" w:cs="宋体"/>
      <w:kern w:val="0"/>
      <w:sz w:val="22"/>
      <w:lang w:eastAsia="en-US"/>
    </w:rPr>
  </w:style>
  <w:style w:type="table" w:customStyle="1" w:styleId="1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3">
    <w:name w:val="Other|1"/>
    <w:basedOn w:val="1"/>
    <w:qFormat/>
    <w:uiPriority w:val="0"/>
    <w:pPr>
      <w:spacing w:line="262" w:lineRule="auto"/>
      <w:ind w:firstLine="400"/>
    </w:pPr>
    <w:rPr>
      <w:rFonts w:ascii="宋体" w:hAnsi="宋体" w:cs="宋体"/>
      <w:sz w:val="19"/>
      <w:szCs w:val="19"/>
      <w:lang w:val="zh-TW" w:eastAsia="zh-TW" w:bidi="zh-TW"/>
    </w:rPr>
  </w:style>
  <w:style w:type="character" w:customStyle="1" w:styleId="14">
    <w:name w:val="页眉 字符"/>
    <w:basedOn w:val="10"/>
    <w:link w:val="6"/>
    <w:qFormat/>
    <w:uiPriority w:val="0"/>
    <w:rPr>
      <w:rFonts w:ascii="Times New Roman" w:hAnsi="Times New Roman" w:eastAsia="宋体" w:cs="Times New Roman"/>
      <w:kern w:val="2"/>
      <w:sz w:val="18"/>
      <w:szCs w:val="18"/>
    </w:rPr>
  </w:style>
  <w:style w:type="character" w:customStyle="1" w:styleId="15">
    <w:name w:val="页脚 字符"/>
    <w:basedOn w:val="10"/>
    <w:link w:val="5"/>
    <w:qFormat/>
    <w:uiPriority w:val="0"/>
    <w:rPr>
      <w:rFonts w:ascii="Times New Roman" w:hAnsi="Times New Roman" w:eastAsia="宋体" w:cs="Times New Roman"/>
      <w:kern w:val="2"/>
      <w:sz w:val="18"/>
      <w:szCs w:val="18"/>
    </w:rPr>
  </w:style>
  <w:style w:type="paragraph" w:customStyle="1" w:styleId="16">
    <w:name w:val="15"/>
    <w:basedOn w:val="1"/>
    <w:qFormat/>
    <w:uiPriority w:val="0"/>
    <w:pPr>
      <w:widowControl/>
      <w:spacing w:before="100" w:beforeAutospacing="1" w:after="100" w:afterAutospacing="1"/>
      <w:jc w:val="left"/>
    </w:pPr>
    <w:rPr>
      <w:rFonts w:ascii="宋体" w:hAnsi="宋体" w:cs="宋体"/>
      <w:kern w:val="0"/>
      <w:sz w:val="24"/>
    </w:rPr>
  </w:style>
  <w:style w:type="paragraph" w:styleId="17">
    <w:name w:val="List Paragraph"/>
    <w:basedOn w:val="1"/>
    <w:unhideWhenUsed/>
    <w:qFormat/>
    <w:uiPriority w:val="99"/>
    <w:pPr>
      <w:ind w:firstLine="420" w:firstLineChars="200"/>
    </w:pPr>
  </w:style>
  <w:style w:type="character" w:customStyle="1" w:styleId="18">
    <w:name w:val="正文-默安 字符"/>
    <w:basedOn w:val="10"/>
    <w:link w:val="19"/>
    <w:qFormat/>
    <w:locked/>
    <w:uiPriority w:val="0"/>
    <w:rPr>
      <w:rFonts w:ascii="宋体" w:hAnsi="Arial" w:cs="Arial"/>
      <w:sz w:val="24"/>
    </w:rPr>
  </w:style>
  <w:style w:type="paragraph" w:customStyle="1" w:styleId="19">
    <w:name w:val="正文-默安"/>
    <w:basedOn w:val="1"/>
    <w:link w:val="18"/>
    <w:qFormat/>
    <w:uiPriority w:val="0"/>
    <w:pPr>
      <w:widowControl/>
      <w:spacing w:before="120" w:after="120" w:line="360" w:lineRule="auto"/>
      <w:ind w:firstLine="200" w:firstLineChars="200"/>
      <w:jc w:val="left"/>
    </w:pPr>
    <w:rPr>
      <w:rFonts w:ascii="宋体" w:hAnsi="Arial" w:cs="Arial"/>
      <w:kern w:val="0"/>
      <w:sz w:val="24"/>
      <w:szCs w:val="20"/>
    </w:rPr>
  </w:style>
  <w:style w:type="paragraph" w:customStyle="1" w:styleId="20">
    <w:name w:val="级别1-默安科技"/>
    <w:basedOn w:val="3"/>
    <w:next w:val="19"/>
    <w:qFormat/>
    <w:uiPriority w:val="0"/>
    <w:pPr>
      <w:keepLines w:val="0"/>
      <w:widowControl/>
      <w:numPr>
        <w:ilvl w:val="0"/>
        <w:numId w:val="2"/>
      </w:numPr>
      <w:tabs>
        <w:tab w:val="left" w:pos="360"/>
      </w:tabs>
      <w:spacing w:before="360" w:after="240" w:line="240" w:lineRule="auto"/>
      <w:jc w:val="left"/>
    </w:pPr>
    <w:rPr>
      <w:rFonts w:ascii="黑体" w:hAnsi="Arial" w:eastAsia="黑体" w:cstheme="minorBidi"/>
      <w:color w:val="2E75B6" w:themeColor="accent1" w:themeShade="BF"/>
      <w:kern w:val="28"/>
      <w:sz w:val="32"/>
      <w:szCs w:val="22"/>
    </w:rPr>
  </w:style>
  <w:style w:type="paragraph" w:customStyle="1" w:styleId="21">
    <w:name w:val="级别3-默安科技"/>
    <w:basedOn w:val="1"/>
    <w:next w:val="19"/>
    <w:qFormat/>
    <w:uiPriority w:val="0"/>
    <w:pPr>
      <w:keepNext/>
      <w:widowControl/>
      <w:numPr>
        <w:ilvl w:val="2"/>
        <w:numId w:val="2"/>
      </w:numPr>
      <w:tabs>
        <w:tab w:val="left" w:pos="2160"/>
      </w:tabs>
      <w:spacing w:before="180" w:after="180" w:line="360" w:lineRule="auto"/>
      <w:jc w:val="left"/>
      <w:outlineLvl w:val="2"/>
    </w:pPr>
    <w:rPr>
      <w:rFonts w:ascii="黑体" w:hAnsi="黑体" w:eastAsia="黑体" w:cstheme="minorBidi"/>
      <w:b/>
      <w:color w:val="2E75B6" w:themeColor="accent1" w:themeShade="BF"/>
      <w:sz w:val="28"/>
      <w:szCs w:val="28"/>
    </w:rPr>
  </w:style>
  <w:style w:type="paragraph" w:customStyle="1" w:styleId="22">
    <w:name w:val="级别2-默安科技"/>
    <w:basedOn w:val="1"/>
    <w:next w:val="19"/>
    <w:qFormat/>
    <w:uiPriority w:val="0"/>
    <w:pPr>
      <w:keepNext/>
      <w:widowControl/>
      <w:numPr>
        <w:ilvl w:val="1"/>
        <w:numId w:val="2"/>
      </w:numPr>
      <w:tabs>
        <w:tab w:val="left" w:pos="1440"/>
      </w:tabs>
      <w:spacing w:before="180" w:after="180" w:line="360" w:lineRule="auto"/>
      <w:jc w:val="left"/>
      <w:outlineLvl w:val="1"/>
    </w:pPr>
    <w:rPr>
      <w:rFonts w:ascii="黑体" w:hAnsi="Arial" w:eastAsia="黑体" w:cs="Arial"/>
      <w:b/>
      <w:color w:val="2E75B6" w:themeColor="accent1" w:themeShade="BF"/>
      <w:sz w:val="30"/>
      <w:szCs w:val="20"/>
    </w:rPr>
  </w:style>
  <w:style w:type="paragraph" w:customStyle="1" w:styleId="23">
    <w:name w:val="级别5-默安科技"/>
    <w:basedOn w:val="4"/>
    <w:next w:val="19"/>
    <w:qFormat/>
    <w:uiPriority w:val="0"/>
    <w:pPr>
      <w:keepLines w:val="0"/>
      <w:widowControl/>
      <w:numPr>
        <w:ilvl w:val="4"/>
        <w:numId w:val="2"/>
      </w:numPr>
      <w:spacing w:before="120" w:after="60" w:line="288" w:lineRule="auto"/>
      <w:ind w:left="425" w:hanging="425"/>
      <w:jc w:val="left"/>
      <w:outlineLvl w:val="4"/>
    </w:pPr>
    <w:rPr>
      <w:rFonts w:ascii="黑体" w:eastAsia="黑体"/>
      <w:color w:val="2E75B6" w:themeColor="accent1" w:themeShade="BF"/>
      <w:sz w:val="24"/>
    </w:rPr>
  </w:style>
  <w:style w:type="paragraph" w:customStyle="1" w:styleId="24">
    <w:name w:val="级别4-默安科技"/>
    <w:basedOn w:val="1"/>
    <w:next w:val="19"/>
    <w:qFormat/>
    <w:uiPriority w:val="0"/>
    <w:pPr>
      <w:numPr>
        <w:ilvl w:val="3"/>
        <w:numId w:val="2"/>
      </w:numPr>
      <w:spacing w:before="120" w:after="120" w:line="360" w:lineRule="auto"/>
      <w:jc w:val="left"/>
      <w:outlineLvl w:val="3"/>
    </w:pPr>
    <w:rPr>
      <w:rFonts w:ascii="黑体" w:hAnsi="宋体" w:eastAsia="黑体" w:cs="宋体"/>
      <w:b/>
      <w:color w:val="2E75B6" w:themeColor="accent1" w:themeShade="BF"/>
      <w:sz w:val="24"/>
    </w:rPr>
  </w:style>
  <w:style w:type="character" w:customStyle="1" w:styleId="25">
    <w:name w:val="标题 4 字符"/>
    <w:basedOn w:val="10"/>
    <w:link w:val="4"/>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1448</Words>
  <Characters>1544</Characters>
  <Lines>11</Lines>
  <Paragraphs>3</Paragraphs>
  <TotalTime>0</TotalTime>
  <ScaleCrop>false</ScaleCrop>
  <LinksUpToDate>false</LinksUpToDate>
  <CharactersWithSpaces>1576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2023-07-21T04:50:00Z</dcterms:created>
  <dc:creator>信元网安 唐永权</dc:creator>
  <cp:lastModifiedBy>零落星晴 </cp:lastModifiedBy>
  <dcterms:modified xsi:type="dcterms:W3CDTF">2023-11-15T06:31:35Z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FCCE3821489248B3823C6878CADAFF3D_11</vt:lpwstr>
  </property>
</Properties>
</file>