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29A" w:rsidRDefault="00060F9B" w:rsidP="00DF729A">
      <w:pPr>
        <w:widowControl/>
        <w:shd w:val="clear" w:color="auto" w:fill="FFFFFF"/>
        <w:spacing w:line="360" w:lineRule="atLeast"/>
        <w:ind w:firstLine="480"/>
        <w:jc w:val="center"/>
        <w:rPr>
          <w:rFonts w:ascii="方正小标宋简体" w:eastAsia="方正小标宋简体" w:hAnsi="Microsoft YaHei UI" w:cs="宋体"/>
          <w:color w:val="333333"/>
          <w:spacing w:val="8"/>
          <w:kern w:val="0"/>
          <w:sz w:val="44"/>
          <w:szCs w:val="44"/>
        </w:rPr>
      </w:pPr>
      <w:r w:rsidRPr="00DF729A">
        <w:rPr>
          <w:rFonts w:ascii="方正小标宋简体" w:eastAsia="方正小标宋简体" w:hAnsi="Microsoft YaHei UI" w:cs="宋体" w:hint="eastAsia"/>
          <w:color w:val="333333"/>
          <w:spacing w:val="8"/>
          <w:kern w:val="0"/>
          <w:sz w:val="44"/>
          <w:szCs w:val="44"/>
        </w:rPr>
        <w:t>2021年度上海市人民政府决策咨询</w:t>
      </w:r>
    </w:p>
    <w:p w:rsidR="00060F9B" w:rsidRPr="00DF729A" w:rsidRDefault="00060F9B" w:rsidP="00DF729A">
      <w:pPr>
        <w:widowControl/>
        <w:shd w:val="clear" w:color="auto" w:fill="FFFFFF"/>
        <w:spacing w:line="360" w:lineRule="atLeast"/>
        <w:ind w:firstLine="480"/>
        <w:jc w:val="center"/>
        <w:rPr>
          <w:rFonts w:ascii="方正小标宋简体" w:eastAsia="方正小标宋简体" w:hAnsi="Microsoft YaHei UI" w:cs="宋体" w:hint="eastAsia"/>
          <w:color w:val="333333"/>
          <w:spacing w:val="8"/>
          <w:kern w:val="0"/>
          <w:sz w:val="44"/>
          <w:szCs w:val="44"/>
        </w:rPr>
      </w:pPr>
      <w:r w:rsidRPr="00DF729A">
        <w:rPr>
          <w:rFonts w:ascii="方正小标宋简体" w:eastAsia="方正小标宋简体" w:hAnsi="Microsoft YaHei UI" w:cs="宋体" w:hint="eastAsia"/>
          <w:color w:val="333333"/>
          <w:spacing w:val="8"/>
          <w:kern w:val="0"/>
          <w:sz w:val="44"/>
          <w:szCs w:val="44"/>
        </w:rPr>
        <w:t>研究机关事务管理专项课题指南</w:t>
      </w:r>
    </w:p>
    <w:p w:rsidR="00DF729A" w:rsidRDefault="00DF729A" w:rsidP="00DF729A">
      <w:pPr>
        <w:widowControl/>
        <w:shd w:val="clear" w:color="auto" w:fill="FFFFFF"/>
        <w:spacing w:line="360" w:lineRule="atLeast"/>
        <w:ind w:firstLineChars="200" w:firstLine="674"/>
        <w:rPr>
          <w:rFonts w:ascii="仿宋_GB2312" w:eastAsia="仿宋_GB2312" w:hAnsi="Microsoft YaHei UI" w:cs="宋体"/>
          <w:b/>
          <w:bCs/>
          <w:color w:val="333333"/>
          <w:spacing w:val="8"/>
          <w:kern w:val="0"/>
          <w:sz w:val="32"/>
          <w:szCs w:val="32"/>
        </w:rPr>
      </w:pPr>
    </w:p>
    <w:p w:rsidR="00060F9B" w:rsidRPr="00DF729A" w:rsidRDefault="00060F9B" w:rsidP="00DF729A">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DF729A">
        <w:rPr>
          <w:rFonts w:ascii="黑体" w:eastAsia="黑体" w:hAnsi="黑体" w:cs="宋体" w:hint="eastAsia"/>
          <w:bCs/>
          <w:color w:val="333333"/>
          <w:spacing w:val="8"/>
          <w:kern w:val="0"/>
          <w:sz w:val="32"/>
          <w:szCs w:val="32"/>
        </w:rPr>
        <w:t>一、全面推进机关事务运行保障数字化转型与智慧机管局建设研究</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研究目的与要求：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本课题重点研究全面推进城市数字化转型的背景下机关事务运行保障数字化转型与智慧机管局建设的重要作用，加强机关事务运行保障数字化转型与智慧机管局建设的顶层设计，注重解决机关事务运行保障数字化转型与智慧机管局建设的堵点难点，重视机关事务运行保障数字化转型与智慧机管局建设的安全保障问题，提出十四五时期全面推进机关事务运行保障数字化转型与智慧机管局建设的目标模式、行动路径与推进策略。</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课题重点研究但不限于以下方面：</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1．全面推进机关事务运行保障数字化转型与智慧机管局建设的重要意义；</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2．上海在推进机关事务运行保障数字化转型方面的现实评价、存在问题及原因分析；</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3．上海进一步加强机关事务运行保障数字化转型与智慧机管局建设的基本策略、实施路径和举措建议。</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lastRenderedPageBreak/>
        <w:t>研究实施进度与要求：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1.2021年8月初，提交课题研究中期成果报告或专题报告，进行中期成果评估。</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2.2021年10月初，完成研究任务，提交课题研究总报告（2万字以内）和摘要（1500字）。书面材料各一式三份，同时提交相应的电子版文件（Word格式）。</w:t>
      </w:r>
    </w:p>
    <w:p w:rsidR="00060F9B" w:rsidRPr="00DF729A" w:rsidRDefault="00060F9B" w:rsidP="00DF729A">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DF729A">
        <w:rPr>
          <w:rFonts w:ascii="黑体" w:eastAsia="黑体" w:hAnsi="黑体" w:cs="宋体" w:hint="eastAsia"/>
          <w:bCs/>
          <w:color w:val="333333"/>
          <w:spacing w:val="8"/>
          <w:kern w:val="0"/>
          <w:sz w:val="32"/>
          <w:szCs w:val="32"/>
        </w:rPr>
        <w:t>二、完善机关公物仓制度建设开创资产管理新局面的途径与策略研究</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研究目的与要求：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党的十八大明确提出要“完善各类国有资产管理体制”，而行政事业单位资产又是国有资产的重要组成部分。这部分资产的管理直接影响着政府职能的履行和廉洁政府形象的打造。行政事业单位资产因其实物形态的特性，一直以来是公共管理的难题。目前很多地方政府对加强行政事业单位国有资产管理进行了很多探索。其中一项有力的措施就是建立政府公物仓。这样既提高了资产使用和处置效率，又贯彻了厉行节约、反对浪费的精神。2020年5月27日，国管局在《关于开展中央行政事业单位公物仓试点工作的通知》明确提出为贯彻落实政府带头“过紧日子”有关要求，提高中央行政事业单位国有资产使用效益，推进节约型机关建议，根据《党政机关厉行节约反对浪费条例》《机关事务管理条例》等有关法规和规定，开展中</w:t>
      </w:r>
      <w:r w:rsidRPr="00DF729A">
        <w:rPr>
          <w:rFonts w:ascii="仿宋_GB2312" w:eastAsia="仿宋_GB2312" w:hAnsi="Microsoft YaHei UI" w:cs="宋体" w:hint="eastAsia"/>
          <w:color w:val="333333"/>
          <w:spacing w:val="8"/>
          <w:kern w:val="0"/>
          <w:sz w:val="32"/>
          <w:szCs w:val="32"/>
        </w:rPr>
        <w:lastRenderedPageBreak/>
        <w:t>央行政事业单位公物仓试点工作。本课题主要研究“十四五”时期，上海如何有效推进政府公物仓建议，提高行政事业单位国有资产使用效益，机关运行成本，节约集约使用经费、资产和能源资源，以更为集约节约举措保障党政机关的高效有序运行，提出十四五时期加快推进政府公物仓建设，提高行政事业单位国有资产使用效益的着力点、突破口与推进策略。</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课题重点研究但不限于以下方面：</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1.全面梳理、评估近年来国家、主要兄弟省市和本市在公物仓制度建设方面的举措及具体实施效果；</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2．深入研究分析当前本市在公物仓制度建设方面面临的瓶颈问题及其主要原因；</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3．前瞻性地研究提出本市公物仓制度建设的思路建议。</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研究实施进度与要求：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1.2021年8月初，提交课题研究中期成果报告或专题报告，进行中期成果评估。</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2.2021年10月初，完成研究任务，提交课题研究总报告（2万字以内）和摘要（1500字）。书面材料各一式三份，同时提交相应的电子版文件（Word格式）。</w:t>
      </w:r>
    </w:p>
    <w:p w:rsidR="00060F9B" w:rsidRPr="00DF729A" w:rsidRDefault="00060F9B" w:rsidP="00DF729A">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DF729A">
        <w:rPr>
          <w:rFonts w:ascii="黑体" w:eastAsia="黑体" w:hAnsi="黑体" w:cs="宋体" w:hint="eastAsia"/>
          <w:bCs/>
          <w:color w:val="333333"/>
          <w:spacing w:val="8"/>
          <w:kern w:val="0"/>
          <w:sz w:val="32"/>
          <w:szCs w:val="32"/>
        </w:rPr>
        <w:t>三、“十四五”时期加快节约型机关建设的途径与策略研究</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lastRenderedPageBreak/>
        <w:t>研究目的与要求：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本课题主要研究“十四五”时期，上海各级机关事务部门如何继续落实过紧日子要求，严格控制机关运行成本，节约集约使用经费、资产和能源资源，以更为集约节约举措保障党政机关的高效有序运行，提出十四五时期加快推进节约型机关建设的目标模式、行动路径与推进策略。</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课题重点研究但不限于以下方面：</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1.全面梳理、评估近年来国家、主要兄弟省市和本市在节约型机关建设方面的举措及具体实施效果；</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2．深入研究分析当前本市在节约型机关建设方面面临的瓶颈问题及其主要原因；</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3．前瞻性地研究提出本市“十四五”时期从加快节约型机关建设的思路建议。</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研究实施进度与要求：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1.2021年8月初，提交课题研究中期成果报告或专题报告，进行中期成果评估。</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2.2021年10月初，完成研究任务，提交课题研究总报告（2万字以内）和摘要（1500字）。书面材料各一式三份，同时提交相应的电子版文件（Word格式）。</w:t>
      </w:r>
    </w:p>
    <w:p w:rsidR="00060F9B" w:rsidRPr="00DF729A" w:rsidRDefault="00060F9B" w:rsidP="00DF729A">
      <w:pPr>
        <w:widowControl/>
        <w:shd w:val="clear" w:color="auto" w:fill="FFFFFF"/>
        <w:spacing w:line="360" w:lineRule="atLeast"/>
        <w:ind w:firstLineChars="200" w:firstLine="672"/>
        <w:rPr>
          <w:rFonts w:ascii="黑体" w:eastAsia="黑体" w:hAnsi="黑体" w:cs="宋体" w:hint="eastAsia"/>
          <w:color w:val="333333"/>
          <w:spacing w:val="8"/>
          <w:kern w:val="0"/>
          <w:sz w:val="32"/>
          <w:szCs w:val="32"/>
        </w:rPr>
      </w:pPr>
      <w:r w:rsidRPr="00DF729A">
        <w:rPr>
          <w:rFonts w:ascii="黑体" w:eastAsia="黑体" w:hAnsi="黑体" w:cs="宋体" w:hint="eastAsia"/>
          <w:bCs/>
          <w:color w:val="333333"/>
          <w:spacing w:val="8"/>
          <w:kern w:val="0"/>
          <w:sz w:val="32"/>
          <w:szCs w:val="32"/>
        </w:rPr>
        <w:t>四、长三角机关事务一体化高质量发展战略研究</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研究目的与要求：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lastRenderedPageBreak/>
        <w:t>推进机关运行保障区域一体化是机关事务管理部门服务党和国家中心工作的重要体现，是落实党和政府“过紧日子”要求的重要手段。长三角区域机关事务一体化高质量协同发展对三省一市机关事务管理部门法治政府、责任政府、节约政府、廉洁政府的建设具有重要意义，本课题要站在长三角高质量一体化发展的高度，谋划政务管理、政务服务、政务保障一体化发展；秉持“一体两翼”发展理念，围绕资产、资金、资源“三统一”和“共建、共享、共用”的方向，提出统筹推进区域一体化发展，推动管理更实、服务更优、保障更强的目标模式、行动路径与推进策略。</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课题重点研究但不限于以下方面：</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1．长三角机关事务一体化建设的重要意义；</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2．当前长三角机关事务一体化建设方面的现实评价、存在问题及原因分析；</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3．进一步加强长三角机关事务一体化建设，推进长三角机关事务一体化高质量发展的基本策略、实施路径和举措建议。</w:t>
      </w:r>
    </w:p>
    <w:p w:rsidR="00060F9B" w:rsidRPr="00DF729A" w:rsidRDefault="00060F9B" w:rsidP="00DF729A">
      <w:pPr>
        <w:widowControl/>
        <w:shd w:val="clear" w:color="auto" w:fill="FFFFFF"/>
        <w:spacing w:line="360" w:lineRule="atLeast"/>
        <w:ind w:firstLineChars="200" w:firstLine="674"/>
        <w:rPr>
          <w:rFonts w:ascii="仿宋_GB2312" w:eastAsia="仿宋_GB2312" w:hAnsi="Microsoft YaHei UI" w:cs="宋体" w:hint="eastAsia"/>
          <w:b/>
          <w:color w:val="333333"/>
          <w:spacing w:val="8"/>
          <w:kern w:val="0"/>
          <w:sz w:val="32"/>
          <w:szCs w:val="32"/>
        </w:rPr>
      </w:pPr>
      <w:r w:rsidRPr="00DF729A">
        <w:rPr>
          <w:rFonts w:ascii="仿宋_GB2312" w:eastAsia="仿宋_GB2312" w:hAnsi="Microsoft YaHei UI" w:cs="宋体" w:hint="eastAsia"/>
          <w:b/>
          <w:color w:val="333333"/>
          <w:spacing w:val="8"/>
          <w:kern w:val="0"/>
          <w:sz w:val="32"/>
          <w:szCs w:val="32"/>
        </w:rPr>
        <w:t>研究实施进度与要求：</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r w:rsidRPr="00DF729A">
        <w:rPr>
          <w:rFonts w:ascii="仿宋_GB2312" w:eastAsia="仿宋_GB2312" w:hAnsi="Microsoft YaHei UI" w:cs="宋体" w:hint="eastAsia"/>
          <w:color w:val="333333"/>
          <w:spacing w:val="8"/>
          <w:kern w:val="0"/>
          <w:sz w:val="32"/>
          <w:szCs w:val="32"/>
        </w:rPr>
        <w:t>1.2021年8月初，提交课题研究中期成果报告或专题报告，进行中期成果评估。</w:t>
      </w:r>
    </w:p>
    <w:p w:rsidR="00060F9B" w:rsidRPr="00DF729A" w:rsidRDefault="00060F9B" w:rsidP="00DF729A">
      <w:pPr>
        <w:widowControl/>
        <w:shd w:val="clear" w:color="auto" w:fill="FFFFFF"/>
        <w:spacing w:line="360" w:lineRule="atLeast"/>
        <w:ind w:firstLineChars="200" w:firstLine="672"/>
        <w:rPr>
          <w:rFonts w:ascii="仿宋_GB2312" w:eastAsia="仿宋_GB2312" w:hAnsi="Microsoft YaHei UI" w:cs="宋体" w:hint="eastAsia"/>
          <w:color w:val="333333"/>
          <w:spacing w:val="8"/>
          <w:kern w:val="0"/>
          <w:sz w:val="32"/>
          <w:szCs w:val="32"/>
        </w:rPr>
      </w:pPr>
      <w:bookmarkStart w:id="0" w:name="_GoBack"/>
      <w:bookmarkEnd w:id="0"/>
      <w:r w:rsidRPr="00DF729A">
        <w:rPr>
          <w:rFonts w:ascii="仿宋_GB2312" w:eastAsia="仿宋_GB2312" w:hAnsi="Microsoft YaHei UI" w:cs="宋体" w:hint="eastAsia"/>
          <w:color w:val="333333"/>
          <w:spacing w:val="8"/>
          <w:kern w:val="0"/>
          <w:sz w:val="32"/>
          <w:szCs w:val="32"/>
        </w:rPr>
        <w:lastRenderedPageBreak/>
        <w:t>2.2021年10月初，完成研究任务，提交课题研究总报告（2万字以内）和摘要（1500字）。书面材料各一式三份，同时提交相应的电子版文件（Word格式）。</w:t>
      </w:r>
    </w:p>
    <w:p w:rsidR="00060F9B" w:rsidRPr="00DF729A" w:rsidRDefault="00060F9B" w:rsidP="00060F9B">
      <w:pPr>
        <w:rPr>
          <w:rFonts w:ascii="仿宋_GB2312" w:eastAsia="仿宋_GB2312" w:hint="eastAsia"/>
          <w:sz w:val="32"/>
          <w:szCs w:val="32"/>
        </w:rPr>
      </w:pPr>
    </w:p>
    <w:p w:rsidR="00605D14" w:rsidRPr="00DF729A" w:rsidRDefault="00605D14">
      <w:pPr>
        <w:rPr>
          <w:rFonts w:ascii="仿宋_GB2312" w:eastAsia="仿宋_GB2312" w:hint="eastAsia"/>
          <w:sz w:val="32"/>
          <w:szCs w:val="32"/>
        </w:rPr>
      </w:pPr>
    </w:p>
    <w:sectPr w:rsidR="00605D14" w:rsidRPr="00DF72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58F" w:rsidRDefault="0089358F" w:rsidP="00060F9B">
      <w:r>
        <w:separator/>
      </w:r>
    </w:p>
  </w:endnote>
  <w:endnote w:type="continuationSeparator" w:id="0">
    <w:p w:rsidR="0089358F" w:rsidRDefault="0089358F" w:rsidP="0006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58F" w:rsidRDefault="0089358F" w:rsidP="00060F9B">
      <w:r>
        <w:separator/>
      </w:r>
    </w:p>
  </w:footnote>
  <w:footnote w:type="continuationSeparator" w:id="0">
    <w:p w:rsidR="0089358F" w:rsidRDefault="0089358F" w:rsidP="00060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D6"/>
    <w:rsid w:val="00022509"/>
    <w:rsid w:val="00060F9B"/>
    <w:rsid w:val="000824D6"/>
    <w:rsid w:val="000E7EC4"/>
    <w:rsid w:val="001A00C3"/>
    <w:rsid w:val="00222CB9"/>
    <w:rsid w:val="00257CEA"/>
    <w:rsid w:val="002A1FC0"/>
    <w:rsid w:val="003345B4"/>
    <w:rsid w:val="003579B6"/>
    <w:rsid w:val="00374811"/>
    <w:rsid w:val="0039422C"/>
    <w:rsid w:val="003A083D"/>
    <w:rsid w:val="003C5963"/>
    <w:rsid w:val="003D5676"/>
    <w:rsid w:val="00401EBB"/>
    <w:rsid w:val="0044084F"/>
    <w:rsid w:val="004543AE"/>
    <w:rsid w:val="00463101"/>
    <w:rsid w:val="004F3DBD"/>
    <w:rsid w:val="004F7DD8"/>
    <w:rsid w:val="005249D6"/>
    <w:rsid w:val="00547E35"/>
    <w:rsid w:val="00550DEE"/>
    <w:rsid w:val="00582087"/>
    <w:rsid w:val="00605D14"/>
    <w:rsid w:val="006241F2"/>
    <w:rsid w:val="00640513"/>
    <w:rsid w:val="00684A34"/>
    <w:rsid w:val="006C62CC"/>
    <w:rsid w:val="006D73EB"/>
    <w:rsid w:val="00747EE0"/>
    <w:rsid w:val="007C6C69"/>
    <w:rsid w:val="0089358F"/>
    <w:rsid w:val="0089554E"/>
    <w:rsid w:val="008B0FE1"/>
    <w:rsid w:val="008D3887"/>
    <w:rsid w:val="008E3C8F"/>
    <w:rsid w:val="00A91E02"/>
    <w:rsid w:val="00B550B0"/>
    <w:rsid w:val="00B64E89"/>
    <w:rsid w:val="00C84796"/>
    <w:rsid w:val="00CD266C"/>
    <w:rsid w:val="00D37598"/>
    <w:rsid w:val="00D400F3"/>
    <w:rsid w:val="00D445CC"/>
    <w:rsid w:val="00DE6D2C"/>
    <w:rsid w:val="00DF729A"/>
    <w:rsid w:val="00E80043"/>
    <w:rsid w:val="00EF73E5"/>
    <w:rsid w:val="00F31E1A"/>
    <w:rsid w:val="00F6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D8CF87-DDFF-4E99-B199-C3617AB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0F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0F9B"/>
    <w:rPr>
      <w:sz w:val="18"/>
      <w:szCs w:val="18"/>
    </w:rPr>
  </w:style>
  <w:style w:type="paragraph" w:styleId="a4">
    <w:name w:val="footer"/>
    <w:basedOn w:val="a"/>
    <w:link w:val="Char0"/>
    <w:uiPriority w:val="99"/>
    <w:unhideWhenUsed/>
    <w:rsid w:val="00060F9B"/>
    <w:pPr>
      <w:tabs>
        <w:tab w:val="center" w:pos="4153"/>
        <w:tab w:val="right" w:pos="8306"/>
      </w:tabs>
      <w:snapToGrid w:val="0"/>
      <w:jc w:val="left"/>
    </w:pPr>
    <w:rPr>
      <w:sz w:val="18"/>
      <w:szCs w:val="18"/>
    </w:rPr>
  </w:style>
  <w:style w:type="character" w:customStyle="1" w:styleId="Char0">
    <w:name w:val="页脚 Char"/>
    <w:basedOn w:val="a0"/>
    <w:link w:val="a4"/>
    <w:uiPriority w:val="99"/>
    <w:rsid w:val="00060F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338</Words>
  <Characters>1929</Characters>
  <Application>Microsoft Office Word</Application>
  <DocSecurity>0</DocSecurity>
  <Lines>16</Lines>
  <Paragraphs>4</Paragraphs>
  <ScaleCrop>false</ScaleCrop>
  <Company>china</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何欢浪</dc:creator>
  <cp:keywords/>
  <dc:description/>
  <cp:lastModifiedBy>何欢浪</cp:lastModifiedBy>
  <cp:revision>3</cp:revision>
  <dcterms:created xsi:type="dcterms:W3CDTF">2021-04-30T05:43:00Z</dcterms:created>
  <dcterms:modified xsi:type="dcterms:W3CDTF">2021-04-30T06:12:00Z</dcterms:modified>
</cp:coreProperties>
</file>