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1"/>
        <w:ind w:left="720"/>
        <w:rPr>
          <w:sz w:val="28"/>
        </w:rPr>
      </w:pPr>
      <w:r>
        <w:rPr>
          <w:sz w:val="28"/>
        </w:rPr>
        <w:t>附件 3：</w:t>
      </w:r>
    </w:p>
    <w:p>
      <w:pPr>
        <w:pStyle w:val="2"/>
        <w:spacing w:line="324" w:lineRule="auto"/>
        <w:ind w:right="1176" w:firstLine="45"/>
      </w:pPr>
      <w:r>
        <w:t>第二十</w:t>
      </w:r>
      <w:r>
        <w:rPr>
          <w:rFonts w:hint="eastAsia"/>
          <w:lang w:val="en-US"/>
        </w:rPr>
        <w:t>四</w:t>
      </w:r>
      <w:r>
        <w:t>届中国特色社会主义理论学习系列活动202</w:t>
      </w:r>
      <w:r>
        <w:rPr>
          <w:rFonts w:hint="eastAsia"/>
          <w:lang w:val="en-US"/>
        </w:rPr>
        <w:t>0</w:t>
      </w:r>
      <w:r>
        <w:rPr>
          <w:spacing w:val="-12"/>
        </w:rPr>
        <w:t xml:space="preserve"> 年习近平总书记部分系列重要讲话篇目推荐</w:t>
      </w:r>
    </w:p>
    <w:p>
      <w:pPr>
        <w:pStyle w:val="3"/>
        <w:spacing w:before="1"/>
        <w:rPr>
          <w:rFonts w:ascii="黑体"/>
          <w:b/>
          <w:sz w:val="47"/>
        </w:rPr>
      </w:pPr>
    </w:p>
    <w:p>
      <w:pPr>
        <w:pStyle w:val="6"/>
        <w:numPr>
          <w:ilvl w:val="0"/>
          <w:numId w:val="1"/>
        </w:numPr>
        <w:tabs>
          <w:tab w:val="left" w:pos="1361"/>
        </w:tabs>
        <w:spacing w:before="0" w:line="276" w:lineRule="auto"/>
        <w:rPr>
          <w:sz w:val="28"/>
        </w:rPr>
      </w:pPr>
      <w:r>
        <w:rPr>
          <w:rFonts w:hint="eastAsia"/>
          <w:spacing w:val="-3"/>
          <w:sz w:val="28"/>
        </w:rPr>
        <w:t>习近平在十九届中央纪委四次全会上发表重要讲话</w:t>
      </w:r>
    </w:p>
    <w:p>
      <w:pPr>
        <w:pStyle w:val="6"/>
        <w:numPr>
          <w:ilvl w:val="0"/>
          <w:numId w:val="1"/>
        </w:numPr>
        <w:tabs>
          <w:tab w:val="left" w:pos="1361"/>
        </w:tabs>
        <w:spacing w:before="0" w:line="276" w:lineRule="auto"/>
        <w:rPr>
          <w:sz w:val="28"/>
        </w:rPr>
      </w:pPr>
      <w:r>
        <w:rPr>
          <w:rFonts w:hint="eastAsia"/>
          <w:sz w:val="28"/>
        </w:rPr>
        <w:t>习近平主持中共中央政治局常务委员会会议并发表重要讲话</w:t>
      </w:r>
    </w:p>
    <w:p>
      <w:pPr>
        <w:pStyle w:val="6"/>
        <w:numPr>
          <w:ilvl w:val="0"/>
          <w:numId w:val="1"/>
        </w:numPr>
        <w:tabs>
          <w:tab w:val="left" w:pos="1361"/>
        </w:tabs>
        <w:spacing w:before="0" w:line="276" w:lineRule="auto"/>
        <w:ind w:left="1077" w:right="732" w:firstLine="0"/>
        <w:rPr>
          <w:sz w:val="28"/>
        </w:rPr>
      </w:pPr>
      <w:r>
        <w:rPr>
          <w:rFonts w:hint="eastAsia"/>
          <w:sz w:val="28"/>
        </w:rPr>
        <w:t>习近平在中央党校（国家行政学院）中青年干部培训班开班式上发表重要讲话</w:t>
      </w:r>
    </w:p>
    <w:p>
      <w:pPr>
        <w:pStyle w:val="6"/>
        <w:numPr>
          <w:ilvl w:val="0"/>
          <w:numId w:val="1"/>
        </w:numPr>
        <w:tabs>
          <w:tab w:val="left" w:pos="1361"/>
        </w:tabs>
        <w:spacing w:before="0" w:line="276" w:lineRule="auto"/>
        <w:ind w:right="732"/>
        <w:rPr>
          <w:sz w:val="28"/>
        </w:rPr>
      </w:pPr>
      <w:r>
        <w:rPr>
          <w:rFonts w:hint="eastAsia"/>
          <w:sz w:val="28"/>
        </w:rPr>
        <w:t>习近平：关于《中共中央关于制定国民经济和社会发展第十四个五年规划和二〇三五年远景目标的建议》的说明</w:t>
      </w:r>
    </w:p>
    <w:p>
      <w:pPr>
        <w:pStyle w:val="6"/>
        <w:numPr>
          <w:ilvl w:val="0"/>
          <w:numId w:val="1"/>
        </w:numPr>
        <w:tabs>
          <w:tab w:val="left" w:pos="1361"/>
        </w:tabs>
        <w:spacing w:before="0" w:line="276" w:lineRule="auto"/>
        <w:ind w:right="732"/>
        <w:rPr>
          <w:sz w:val="28"/>
        </w:rPr>
      </w:pPr>
      <w:r>
        <w:rPr>
          <w:rFonts w:hint="eastAsia"/>
          <w:sz w:val="28"/>
        </w:rPr>
        <w:t>习近平给复旦大学《共产党宣言》展示馆党员志愿服务队全体队员的回信</w:t>
      </w:r>
    </w:p>
    <w:p>
      <w:pPr>
        <w:pStyle w:val="6"/>
        <w:numPr>
          <w:ilvl w:val="0"/>
          <w:numId w:val="1"/>
        </w:numPr>
        <w:tabs>
          <w:tab w:val="left" w:pos="1361"/>
        </w:tabs>
        <w:spacing w:before="0" w:line="276" w:lineRule="auto"/>
        <w:ind w:left="1077" w:right="732" w:firstLine="0"/>
        <w:rPr>
          <w:sz w:val="28"/>
        </w:rPr>
      </w:pPr>
      <w:r>
        <w:rPr>
          <w:rFonts w:hint="eastAsia"/>
          <w:spacing w:val="-8"/>
          <w:sz w:val="28"/>
        </w:rPr>
        <w:t>习近平主持召开扎实推进长三角一体化发展座谈会并发表重要讲话</w:t>
      </w:r>
    </w:p>
    <w:p>
      <w:pPr>
        <w:pStyle w:val="6"/>
        <w:numPr>
          <w:ilvl w:val="0"/>
          <w:numId w:val="1"/>
        </w:numPr>
        <w:tabs>
          <w:tab w:val="left" w:pos="1361"/>
        </w:tabs>
        <w:spacing w:before="0" w:line="276" w:lineRule="auto"/>
        <w:ind w:left="1077" w:right="730" w:firstLine="0"/>
        <w:rPr>
          <w:sz w:val="28"/>
        </w:rPr>
      </w:pPr>
      <w:r>
        <w:rPr>
          <w:rFonts w:hint="eastAsia"/>
          <w:sz w:val="28"/>
        </w:rPr>
        <w:t>习近平给中国石油大学（北京）克拉玛依校区毕业生的回信</w:t>
      </w:r>
    </w:p>
    <w:p>
      <w:pPr>
        <w:pStyle w:val="6"/>
        <w:numPr>
          <w:ilvl w:val="0"/>
          <w:numId w:val="1"/>
        </w:numPr>
        <w:tabs>
          <w:tab w:val="left" w:pos="1361"/>
        </w:tabs>
        <w:spacing w:before="0" w:line="276" w:lineRule="auto"/>
        <w:ind w:left="1077" w:right="730" w:firstLine="0"/>
        <w:rPr>
          <w:sz w:val="28"/>
        </w:rPr>
      </w:pPr>
      <w:r>
        <w:rPr>
          <w:rFonts w:hint="eastAsia"/>
          <w:sz w:val="28"/>
        </w:rPr>
        <w:t>习近平致全国青联十三届全委会和全国学联二十七大的贺信</w:t>
      </w:r>
    </w:p>
    <w:p>
      <w:pPr>
        <w:pStyle w:val="6"/>
        <w:numPr>
          <w:ilvl w:val="0"/>
          <w:numId w:val="1"/>
        </w:numPr>
        <w:tabs>
          <w:tab w:val="left" w:pos="1361"/>
        </w:tabs>
        <w:spacing w:before="0" w:line="276" w:lineRule="auto"/>
        <w:ind w:left="1077" w:right="730" w:firstLine="0"/>
        <w:rPr>
          <w:sz w:val="28"/>
        </w:rPr>
      </w:pPr>
      <w:r>
        <w:rPr>
          <w:rFonts w:hint="eastAsia"/>
          <w:sz w:val="28"/>
        </w:rPr>
        <w:t>习近平出席纪念中国人民抗日战争暨世界反法西斯战争胜利75周年座谈会并发表重要讲话</w:t>
      </w:r>
    </w:p>
    <w:p>
      <w:pPr>
        <w:pStyle w:val="6"/>
        <w:numPr>
          <w:ilvl w:val="0"/>
          <w:numId w:val="1"/>
        </w:numPr>
        <w:tabs>
          <w:tab w:val="left" w:pos="1505"/>
        </w:tabs>
        <w:spacing w:before="0" w:line="276" w:lineRule="auto"/>
        <w:ind w:left="1077" w:right="732" w:firstLine="0"/>
        <w:rPr>
          <w:sz w:val="28"/>
        </w:rPr>
      </w:pPr>
      <w:r>
        <w:rPr>
          <w:rFonts w:hint="eastAsia"/>
          <w:spacing w:val="6"/>
          <w:sz w:val="28"/>
        </w:rPr>
        <w:t>习近平在全国抗击新冠肺炎疫情表彰大会上的讲话</w:t>
      </w:r>
    </w:p>
    <w:p>
      <w:pPr>
        <w:pStyle w:val="6"/>
        <w:numPr>
          <w:ilvl w:val="0"/>
          <w:numId w:val="1"/>
        </w:numPr>
        <w:tabs>
          <w:tab w:val="left" w:pos="1500"/>
        </w:tabs>
        <w:spacing w:before="0" w:line="276" w:lineRule="auto"/>
        <w:ind w:left="1077" w:right="732" w:firstLine="0"/>
        <w:rPr>
          <w:sz w:val="28"/>
        </w:rPr>
      </w:pPr>
      <w:r>
        <w:rPr>
          <w:rFonts w:hint="eastAsia"/>
          <w:spacing w:val="-2"/>
          <w:sz w:val="28"/>
        </w:rPr>
        <w:t>习近平在联合国成立75周年纪念峰会上发表重要讲话</w:t>
      </w:r>
    </w:p>
    <w:p>
      <w:pPr>
        <w:pStyle w:val="6"/>
        <w:numPr>
          <w:ilvl w:val="0"/>
          <w:numId w:val="1"/>
        </w:numPr>
        <w:tabs>
          <w:tab w:val="left" w:pos="1505"/>
        </w:tabs>
        <w:spacing w:before="0" w:line="276" w:lineRule="auto"/>
        <w:ind w:left="1077" w:right="732" w:firstLine="0"/>
        <w:rPr>
          <w:sz w:val="28"/>
        </w:rPr>
      </w:pPr>
      <w:r>
        <w:rPr>
          <w:spacing w:val="6"/>
          <w:sz w:val="28"/>
        </w:rPr>
        <w:t>习近平在第</w:t>
      </w:r>
      <w:r>
        <w:rPr>
          <w:rFonts w:hint="eastAsia"/>
          <w:spacing w:val="6"/>
          <w:sz w:val="28"/>
          <w:lang w:val="en-US"/>
        </w:rPr>
        <w:t>三</w:t>
      </w:r>
      <w:r>
        <w:rPr>
          <w:spacing w:val="6"/>
          <w:sz w:val="28"/>
        </w:rPr>
        <w:t>届国际进口博览会开幕式上发表的主旨演</w:t>
      </w:r>
      <w:r>
        <w:rPr>
          <w:sz w:val="28"/>
        </w:rPr>
        <w:t>讲</w:t>
      </w:r>
    </w:p>
    <w:p>
      <w:pPr>
        <w:pStyle w:val="6"/>
        <w:numPr>
          <w:ilvl w:val="0"/>
          <w:numId w:val="1"/>
        </w:numPr>
        <w:tabs>
          <w:tab w:val="left" w:pos="1505"/>
        </w:tabs>
        <w:spacing w:before="0" w:line="276" w:lineRule="auto"/>
        <w:ind w:right="732"/>
        <w:rPr>
          <w:sz w:val="28"/>
        </w:rPr>
      </w:pPr>
      <w:r>
        <w:rPr>
          <w:rFonts w:hint="eastAsia"/>
          <w:sz w:val="28"/>
        </w:rPr>
        <w:t>习近平在浦东开发开放</w:t>
      </w:r>
      <w:r>
        <w:rPr>
          <w:sz w:val="28"/>
        </w:rPr>
        <w:t>30周年庆祝大会上的讲话</w:t>
      </w:r>
    </w:p>
    <w:p>
      <w:pPr>
        <w:pStyle w:val="6"/>
        <w:numPr>
          <w:ilvl w:val="0"/>
          <w:numId w:val="1"/>
        </w:numPr>
        <w:tabs>
          <w:tab w:val="left" w:pos="1500"/>
        </w:tabs>
        <w:spacing w:before="0" w:line="276" w:lineRule="auto"/>
        <w:ind w:left="1077" w:right="730" w:firstLine="0"/>
        <w:rPr>
          <w:sz w:val="28"/>
        </w:rPr>
      </w:pPr>
      <w:r>
        <w:rPr>
          <w:rFonts w:hint="eastAsia"/>
          <w:spacing w:val="-3"/>
          <w:sz w:val="28"/>
        </w:rPr>
        <w:t>习近平在深圳经济特区建立40周年庆祝大会上的讲话</w:t>
      </w:r>
    </w:p>
    <w:p>
      <w:pPr>
        <w:pStyle w:val="6"/>
        <w:numPr>
          <w:ilvl w:val="0"/>
          <w:numId w:val="1"/>
        </w:numPr>
        <w:tabs>
          <w:tab w:val="left" w:pos="1500"/>
        </w:tabs>
        <w:spacing w:before="0" w:line="276" w:lineRule="auto"/>
        <w:ind w:right="730"/>
        <w:rPr>
          <w:sz w:val="28"/>
        </w:rPr>
      </w:pPr>
      <w:r>
        <w:rPr>
          <w:rFonts w:hint="eastAsia"/>
          <w:spacing w:val="-3"/>
          <w:sz w:val="28"/>
        </w:rPr>
        <w:t>习近平在纪念中国人民志愿军抗美援朝出国作战70周年大会上的讲话</w:t>
      </w:r>
    </w:p>
    <w:p>
      <w:pPr>
        <w:pStyle w:val="6"/>
        <w:numPr>
          <w:ilvl w:val="0"/>
          <w:numId w:val="1"/>
        </w:numPr>
        <w:tabs>
          <w:tab w:val="left" w:pos="1500"/>
        </w:tabs>
        <w:spacing w:before="0" w:line="276" w:lineRule="auto"/>
        <w:ind w:left="1077" w:right="730" w:firstLine="0"/>
        <w:rPr>
          <w:sz w:val="28"/>
        </w:rPr>
      </w:pPr>
      <w:r>
        <w:rPr>
          <w:rFonts w:hint="eastAsia"/>
          <w:sz w:val="28"/>
        </w:rPr>
        <w:t>习近平出席金砖国家领导人第十二次会晤并发表重要讲话</w:t>
      </w:r>
    </w:p>
    <w:p>
      <w:pPr>
        <w:pStyle w:val="6"/>
        <w:numPr>
          <w:ilvl w:val="0"/>
          <w:numId w:val="1"/>
        </w:numPr>
        <w:tabs>
          <w:tab w:val="left" w:pos="1500"/>
        </w:tabs>
        <w:spacing w:before="0" w:line="276" w:lineRule="auto"/>
        <w:ind w:left="1077" w:right="730" w:firstLine="0"/>
        <w:rPr>
          <w:sz w:val="28"/>
        </w:rPr>
      </w:pPr>
      <w:r>
        <w:rPr>
          <w:rFonts w:hint="eastAsia"/>
          <w:sz w:val="28"/>
        </w:rPr>
        <w:t>习近平出席亚太经合组织第二十七次领导人非正式会议并发表重要讲话</w:t>
      </w:r>
    </w:p>
    <w:p>
      <w:pPr>
        <w:pStyle w:val="6"/>
        <w:numPr>
          <w:ilvl w:val="0"/>
          <w:numId w:val="1"/>
        </w:numPr>
        <w:tabs>
          <w:tab w:val="left" w:pos="1500"/>
        </w:tabs>
        <w:spacing w:before="0" w:line="276" w:lineRule="auto"/>
        <w:ind w:left="1077" w:right="730" w:firstLine="0"/>
        <w:rPr>
          <w:sz w:val="28"/>
        </w:rPr>
      </w:pPr>
      <w:r>
        <w:rPr>
          <w:rFonts w:hint="eastAsia"/>
          <w:sz w:val="28"/>
        </w:rPr>
        <w:t>习近平在全国劳动模范和先进工作者表彰大会上发表重要讲话</w:t>
      </w:r>
    </w:p>
    <w:p>
      <w:pPr>
        <w:pStyle w:val="6"/>
        <w:numPr>
          <w:ilvl w:val="0"/>
          <w:numId w:val="1"/>
        </w:numPr>
        <w:tabs>
          <w:tab w:val="left" w:pos="1500"/>
        </w:tabs>
        <w:spacing w:before="0" w:line="276" w:lineRule="auto"/>
        <w:ind w:right="730"/>
        <w:rPr>
          <w:sz w:val="28"/>
        </w:rPr>
      </w:pPr>
      <w:r>
        <w:rPr>
          <w:rFonts w:hint="eastAsia"/>
          <w:sz w:val="28"/>
        </w:rPr>
        <w:t>习近平致“奋斗者”号全海深载人潜水器成功完成万米海试并胜利返航的贺信</w:t>
      </w:r>
    </w:p>
    <w:p>
      <w:pPr>
        <w:pStyle w:val="6"/>
        <w:numPr>
          <w:ilvl w:val="0"/>
          <w:numId w:val="1"/>
        </w:numPr>
        <w:tabs>
          <w:tab w:val="left" w:pos="1500"/>
        </w:tabs>
        <w:spacing w:before="0" w:line="276" w:lineRule="auto"/>
        <w:ind w:right="730"/>
        <w:rPr>
          <w:sz w:val="28"/>
        </w:rPr>
      </w:pPr>
      <w:r>
        <w:rPr>
          <w:rFonts w:hint="eastAsia"/>
          <w:sz w:val="28"/>
        </w:rPr>
        <w:t>习近平代表党中央、国务院和中央军委祝贺探月工程嫦娥五号任务取得圆满成功的贺电</w:t>
      </w:r>
    </w:p>
    <w:p>
      <w:bookmarkStart w:id="0" w:name="_GoBack"/>
      <w:bookmarkEnd w:id="0"/>
    </w:p>
    <w:sectPr>
      <w:footerReference r:id="rId3" w:type="default"/>
      <w:pgSz w:w="11850" w:h="16790"/>
      <w:pgMar w:top="1600" w:right="740" w:bottom="1840" w:left="1080" w:header="0" w:footer="165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lang w:val="en-US" w:bidi="ar-SA"/>
      </w:rPr>
      <mc:AlternateContent>
        <mc:Choice Requires="wps">
          <w:drawing>
            <wp:anchor distT="0" distB="0" distL="114300" distR="114300" simplePos="0" relativeHeight="251191296" behindDoc="1" locked="0" layoutInCell="1" allowOverlap="1">
              <wp:simplePos x="0" y="0"/>
              <wp:positionH relativeFrom="page">
                <wp:posOffset>3821430</wp:posOffset>
              </wp:positionH>
              <wp:positionV relativeFrom="page">
                <wp:posOffset>9464675</wp:posOffset>
              </wp:positionV>
              <wp:extent cx="205105" cy="203835"/>
              <wp:effectExtent l="0" t="0" r="0" b="0"/>
              <wp:wrapNone/>
              <wp:docPr id="7" name="文本框 6"/>
              <wp:cNvGraphicFramePr/>
              <a:graphic xmlns:a="http://schemas.openxmlformats.org/drawingml/2006/main">
                <a:graphicData uri="http://schemas.microsoft.com/office/word/2010/wordprocessingShape">
                  <wps:wsp>
                    <wps:cNvSpPr txBox="1"/>
                    <wps:spPr>
                      <a:xfrm>
                        <a:off x="0" y="0"/>
                        <a:ext cx="205105" cy="203835"/>
                      </a:xfrm>
                      <a:prstGeom prst="rect">
                        <a:avLst/>
                      </a:prstGeom>
                      <a:noFill/>
                      <a:ln>
                        <a:noFill/>
                      </a:ln>
                    </wps:spPr>
                    <wps:txbx>
                      <w:txbxContent>
                        <w:p>
                          <w:pPr>
                            <w:spacing w:line="321" w:lineRule="exact"/>
                            <w:ind w:left="20"/>
                            <w:rPr>
                              <w:rFonts w:ascii="宋体"/>
                              <w:sz w:val="28"/>
                            </w:rPr>
                          </w:pPr>
                          <w:r>
                            <w:rPr>
                              <w:rFonts w:ascii="宋体"/>
                              <w:sz w:val="28"/>
                            </w:rPr>
                            <w:t>12</w:t>
                          </w:r>
                        </w:p>
                      </w:txbxContent>
                    </wps:txbx>
                    <wps:bodyPr lIns="0" tIns="0" rIns="0" bIns="0" upright="1"/>
                  </wps:wsp>
                </a:graphicData>
              </a:graphic>
            </wp:anchor>
          </w:drawing>
        </mc:Choice>
        <mc:Fallback>
          <w:pict>
            <v:shape id="文本框 6" o:spid="_x0000_s1026" o:spt="202" type="#_x0000_t202" style="position:absolute;left:0pt;margin-left:300.9pt;margin-top:745.25pt;height:16.05pt;width:16.15pt;mso-position-horizontal-relative:page;mso-position-vertical-relative:page;z-index:-252125184;mso-width-relative:page;mso-height-relative:page;" filled="f" stroked="f" coordsize="21600,21600" o:gfxdata="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s8SVLbAAAADQEAAA8AAAAAAAAAAQAgAAAAIgAAAGRycy9kb3ducmV2LnhtbFBL&#10;AQIUABQAAAAIAIdO4kBrOZtpugEAAHEDAAAOAAAAAAAAAAEAIAAAACoBAABkcnMvZTJvRG9jLnht&#10;bFBLBQYAAAAABgAGAFkBAABWBQAAAAA=&#10;">
              <v:fill on="f" focussize="0,0"/>
              <v:stroke on="f"/>
              <v:imagedata o:title=""/>
              <o:lock v:ext="edit" aspectratio="f"/>
              <v:textbox inset="0mm,0mm,0mm,0mm">
                <w:txbxContent>
                  <w:p>
                    <w:pPr>
                      <w:spacing w:line="321" w:lineRule="exact"/>
                      <w:ind w:left="20"/>
                      <w:rPr>
                        <w:rFonts w:ascii="宋体"/>
                        <w:sz w:val="28"/>
                      </w:rPr>
                    </w:pPr>
                    <w:r>
                      <w:rPr>
                        <w:rFonts w:ascii="宋体"/>
                        <w:sz w:val="28"/>
                      </w:rPr>
                      <w:t>12</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4DC07F"/>
    <w:multiLevelType w:val="multilevel"/>
    <w:tmpl w:val="4D4DC07F"/>
    <w:lvl w:ilvl="0" w:tentative="0">
      <w:start w:val="1"/>
      <w:numFmt w:val="decimal"/>
      <w:lvlText w:val="%1."/>
      <w:lvlJc w:val="left"/>
      <w:pPr>
        <w:ind w:left="1360" w:hanging="284"/>
        <w:jc w:val="left"/>
      </w:pPr>
      <w:rPr>
        <w:rFonts w:hint="default" w:ascii="仿宋" w:hAnsi="仿宋" w:eastAsia="仿宋" w:cs="仿宋"/>
        <w:spacing w:val="-4"/>
        <w:w w:val="100"/>
        <w:sz w:val="26"/>
        <w:szCs w:val="26"/>
        <w:lang w:val="zh-CN" w:eastAsia="zh-CN" w:bidi="zh-CN"/>
      </w:rPr>
    </w:lvl>
    <w:lvl w:ilvl="1" w:tentative="0">
      <w:start w:val="0"/>
      <w:numFmt w:val="bullet"/>
      <w:lvlText w:val="•"/>
      <w:lvlJc w:val="left"/>
      <w:pPr>
        <w:ind w:left="2227" w:hanging="284"/>
      </w:pPr>
      <w:rPr>
        <w:rFonts w:hint="default"/>
        <w:lang w:val="zh-CN" w:eastAsia="zh-CN" w:bidi="zh-CN"/>
      </w:rPr>
    </w:lvl>
    <w:lvl w:ilvl="2" w:tentative="0">
      <w:start w:val="0"/>
      <w:numFmt w:val="bullet"/>
      <w:lvlText w:val="•"/>
      <w:lvlJc w:val="left"/>
      <w:pPr>
        <w:ind w:left="3094" w:hanging="284"/>
      </w:pPr>
      <w:rPr>
        <w:rFonts w:hint="default"/>
        <w:lang w:val="zh-CN" w:eastAsia="zh-CN" w:bidi="zh-CN"/>
      </w:rPr>
    </w:lvl>
    <w:lvl w:ilvl="3" w:tentative="0">
      <w:start w:val="0"/>
      <w:numFmt w:val="bullet"/>
      <w:lvlText w:val="•"/>
      <w:lvlJc w:val="left"/>
      <w:pPr>
        <w:ind w:left="3961" w:hanging="284"/>
      </w:pPr>
      <w:rPr>
        <w:rFonts w:hint="default"/>
        <w:lang w:val="zh-CN" w:eastAsia="zh-CN" w:bidi="zh-CN"/>
      </w:rPr>
    </w:lvl>
    <w:lvl w:ilvl="4" w:tentative="0">
      <w:start w:val="0"/>
      <w:numFmt w:val="bullet"/>
      <w:lvlText w:val="•"/>
      <w:lvlJc w:val="left"/>
      <w:pPr>
        <w:ind w:left="4828" w:hanging="284"/>
      </w:pPr>
      <w:rPr>
        <w:rFonts w:hint="default"/>
        <w:lang w:val="zh-CN" w:eastAsia="zh-CN" w:bidi="zh-CN"/>
      </w:rPr>
    </w:lvl>
    <w:lvl w:ilvl="5" w:tentative="0">
      <w:start w:val="0"/>
      <w:numFmt w:val="bullet"/>
      <w:lvlText w:val="•"/>
      <w:lvlJc w:val="left"/>
      <w:pPr>
        <w:ind w:left="5695" w:hanging="284"/>
      </w:pPr>
      <w:rPr>
        <w:rFonts w:hint="default"/>
        <w:lang w:val="zh-CN" w:eastAsia="zh-CN" w:bidi="zh-CN"/>
      </w:rPr>
    </w:lvl>
    <w:lvl w:ilvl="6" w:tentative="0">
      <w:start w:val="0"/>
      <w:numFmt w:val="bullet"/>
      <w:lvlText w:val="•"/>
      <w:lvlJc w:val="left"/>
      <w:pPr>
        <w:ind w:left="6562" w:hanging="284"/>
      </w:pPr>
      <w:rPr>
        <w:rFonts w:hint="default"/>
        <w:lang w:val="zh-CN" w:eastAsia="zh-CN" w:bidi="zh-CN"/>
      </w:rPr>
    </w:lvl>
    <w:lvl w:ilvl="7" w:tentative="0">
      <w:start w:val="0"/>
      <w:numFmt w:val="bullet"/>
      <w:lvlText w:val="•"/>
      <w:lvlJc w:val="left"/>
      <w:pPr>
        <w:ind w:left="7429" w:hanging="284"/>
      </w:pPr>
      <w:rPr>
        <w:rFonts w:hint="default"/>
        <w:lang w:val="zh-CN" w:eastAsia="zh-CN" w:bidi="zh-CN"/>
      </w:rPr>
    </w:lvl>
    <w:lvl w:ilvl="8" w:tentative="0">
      <w:start w:val="0"/>
      <w:numFmt w:val="bullet"/>
      <w:lvlText w:val="•"/>
      <w:lvlJc w:val="left"/>
      <w:pPr>
        <w:ind w:left="8296" w:hanging="284"/>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7C2AAE"/>
    <w:rsid w:val="1C7C2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spacing w:before="212"/>
      <w:ind w:left="1171" w:right="1222" w:hanging="2708"/>
      <w:outlineLvl w:val="0"/>
    </w:pPr>
    <w:rPr>
      <w:rFonts w:ascii="黑体" w:hAnsi="黑体" w:eastAsia="黑体" w:cs="黑体"/>
      <w:b/>
      <w:bCs/>
      <w:sz w:val="36"/>
      <w:szCs w:val="36"/>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sz w:val="32"/>
      <w:szCs w:val="32"/>
    </w:rPr>
  </w:style>
  <w:style w:type="paragraph" w:styleId="6">
    <w:name w:val="List Paragraph"/>
    <w:basedOn w:val="1"/>
    <w:qFormat/>
    <w:uiPriority w:val="1"/>
    <w:pPr>
      <w:spacing w:before="61"/>
      <w:ind w:left="720" w:firstLine="559"/>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2021-01-31T11:21:00Z</dcterms:created>
  <dc:creator>大张旗鼓</dc:creator>
  <cp:lastModifiedBy>大张旗鼓</cp:lastModifiedBy>
  <dcterms:modified xsi:type="dcterms:W3CDTF">2021-01-31T11:21:48Z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