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32"/>
          <w:lang w:val="en-US" w:eastAsia="zh-CN"/>
        </w:rPr>
      </w:pPr>
      <w:r>
        <w:rPr>
          <w:rFonts w:hint="eastAsia"/>
          <w:b/>
          <w:sz w:val="32"/>
        </w:rPr>
        <w:t>上海对外经贸大学-</w:t>
      </w:r>
      <w:r>
        <w:rPr>
          <w:rFonts w:hint="eastAsia"/>
          <w:b/>
          <w:sz w:val="32"/>
          <w:lang w:val="en-US" w:eastAsia="zh-CN"/>
        </w:rPr>
        <w:t>数据中心服务器存储维保</w:t>
      </w:r>
    </w:p>
    <w:p>
      <w:pPr>
        <w:jc w:val="center"/>
        <w:rPr>
          <w:b/>
          <w:sz w:val="32"/>
        </w:rPr>
      </w:pPr>
      <w:r>
        <w:rPr>
          <w:rFonts w:hint="eastAsia"/>
          <w:b/>
          <w:sz w:val="32"/>
        </w:rPr>
        <w:t>项目采购需求</w:t>
      </w:r>
    </w:p>
    <w:p/>
    <w:p>
      <w:pPr>
        <w:spacing w:line="360" w:lineRule="auto"/>
        <w:rPr>
          <w:rFonts w:hint="default"/>
          <w:sz w:val="24"/>
          <w:lang w:val="en-US"/>
        </w:rPr>
      </w:pPr>
      <w:r>
        <w:rPr>
          <w:rFonts w:hint="eastAsia"/>
          <w:sz w:val="24"/>
        </w:rPr>
        <w:t>项目名称</w:t>
      </w:r>
      <w:r>
        <w:rPr>
          <w:rFonts w:hint="eastAsia"/>
          <w:sz w:val="24"/>
          <w:lang w:eastAsia="zh-CN"/>
        </w:rPr>
        <w:t>：</w:t>
      </w:r>
      <w:r>
        <w:rPr>
          <w:rFonts w:hint="eastAsia"/>
          <w:sz w:val="24"/>
          <w:lang w:val="en-US" w:eastAsia="zh-CN"/>
        </w:rPr>
        <w:t>数据中心服务器存储维保</w:t>
      </w:r>
    </w:p>
    <w:p>
      <w:pPr>
        <w:spacing w:line="360" w:lineRule="auto"/>
        <w:rPr>
          <w:sz w:val="24"/>
        </w:rPr>
      </w:pPr>
      <w:r>
        <w:rPr>
          <w:rFonts w:hint="eastAsia"/>
          <w:sz w:val="24"/>
        </w:rPr>
        <w:t>预算金额：</w:t>
      </w:r>
      <w:r>
        <w:rPr>
          <w:rFonts w:hint="eastAsia"/>
          <w:sz w:val="24"/>
          <w:lang w:val="en-US" w:eastAsia="zh-CN"/>
        </w:rPr>
        <w:t>19</w:t>
      </w:r>
      <w:r>
        <w:rPr>
          <w:rFonts w:hint="eastAsia"/>
          <w:sz w:val="24"/>
        </w:rPr>
        <w:t>万元</w:t>
      </w:r>
    </w:p>
    <w:p>
      <w:pPr>
        <w:spacing w:line="360" w:lineRule="auto"/>
        <w:rPr>
          <w:rFonts w:hint="default" w:eastAsiaTheme="minorEastAsia"/>
          <w:sz w:val="24"/>
          <w:lang w:val="en-US" w:eastAsia="zh-CN"/>
        </w:rPr>
      </w:pPr>
      <w:r>
        <w:rPr>
          <w:rFonts w:hint="eastAsia"/>
          <w:sz w:val="24"/>
        </w:rPr>
        <w:t>采购方式：</w:t>
      </w:r>
      <w:r>
        <w:rPr>
          <w:rFonts w:hint="eastAsia"/>
          <w:sz w:val="24"/>
          <w:lang w:val="en-US" w:eastAsia="zh-CN"/>
        </w:rPr>
        <w:t>公开比价</w:t>
      </w:r>
    </w:p>
    <w:p>
      <w:pPr>
        <w:spacing w:line="360" w:lineRule="auto"/>
        <w:rPr>
          <w:sz w:val="24"/>
        </w:rPr>
      </w:pPr>
      <w:r>
        <w:rPr>
          <w:rFonts w:hint="eastAsia"/>
          <w:sz w:val="24"/>
        </w:rPr>
        <w:t>政府采购编号（如有）：</w:t>
      </w:r>
      <w:r>
        <w:rPr>
          <w:rFonts w:hint="eastAsia" w:ascii="宋体" w:hAnsi="宋体" w:cs="宋体"/>
          <w:color w:val="000000"/>
          <w:kern w:val="0"/>
          <w:szCs w:val="21"/>
        </w:rPr>
        <w:t>A3A-0100-22-141</w:t>
      </w:r>
    </w:p>
    <w:p>
      <w:pPr>
        <w:spacing w:line="360" w:lineRule="auto"/>
        <w:rPr>
          <w:sz w:val="24"/>
        </w:rPr>
      </w:pPr>
      <w:r>
        <w:rPr>
          <w:rFonts w:hint="eastAsia"/>
          <w:sz w:val="24"/>
        </w:rPr>
        <w:t xml:space="preserve">                      </w:t>
      </w:r>
    </w:p>
    <w:p>
      <w:pPr>
        <w:spacing w:line="360" w:lineRule="auto"/>
        <w:rPr>
          <w:sz w:val="24"/>
        </w:rPr>
      </w:pPr>
    </w:p>
    <w:p>
      <w:pPr>
        <w:spacing w:line="360" w:lineRule="auto"/>
        <w:rPr>
          <w:rFonts w:hint="eastAsia"/>
          <w:sz w:val="24"/>
        </w:rPr>
      </w:pPr>
      <w:r>
        <w:rPr>
          <w:rFonts w:hint="eastAsia"/>
          <w:sz w:val="24"/>
        </w:rPr>
        <w:t xml:space="preserve"> </w:t>
      </w:r>
      <w:r>
        <w:rPr>
          <w:rFonts w:hint="eastAsia"/>
          <w:sz w:val="24"/>
          <w:lang w:val="en-US" w:eastAsia="zh-CN"/>
        </w:rPr>
        <w:t>一</w:t>
      </w:r>
      <w:r>
        <w:rPr>
          <w:rFonts w:hint="eastAsia"/>
          <w:sz w:val="24"/>
        </w:rPr>
        <w:t>、采购项目建设方案，需实现的功能或目标</w:t>
      </w:r>
    </w:p>
    <w:p>
      <w:pPr>
        <w:spacing w:line="360" w:lineRule="auto"/>
        <w:ind w:firstLine="408"/>
        <w:rPr>
          <w:rFonts w:hint="eastAsia" w:ascii="仿宋" w:hAnsi="仿宋" w:eastAsia="仿宋"/>
          <w:sz w:val="24"/>
          <w:szCs w:val="24"/>
        </w:rPr>
      </w:pPr>
      <w:r>
        <w:rPr>
          <w:rFonts w:hint="eastAsia" w:ascii="仿宋" w:hAnsi="仿宋" w:eastAsia="仿宋"/>
          <w:sz w:val="24"/>
          <w:szCs w:val="24"/>
        </w:rPr>
        <w:t>数据存储、服务器、光纤交换机、双活系统为整个数据中心提供了计算资源、存储资源、数据安全等。通过对这些设备及系统的硬件维保服务，可以提升整个数据中心的可靠性、安全性。</w:t>
      </w:r>
    </w:p>
    <w:p>
      <w:pPr>
        <w:spacing w:line="360" w:lineRule="auto"/>
        <w:ind w:firstLine="408"/>
        <w:rPr>
          <w:rFonts w:hint="eastAsia" w:ascii="仿宋" w:hAnsi="仿宋" w:eastAsia="仿宋"/>
          <w:sz w:val="24"/>
          <w:szCs w:val="24"/>
          <w:lang w:val="en-US" w:eastAsia="zh-CN"/>
        </w:rPr>
      </w:pPr>
      <w:r>
        <w:rPr>
          <w:rFonts w:hint="eastAsia" w:ascii="仿宋" w:hAnsi="仿宋" w:eastAsia="仿宋"/>
          <w:sz w:val="24"/>
          <w:szCs w:val="24"/>
        </w:rPr>
        <w:t>服务内容</w:t>
      </w:r>
      <w:r>
        <w:rPr>
          <w:rFonts w:hint="eastAsia" w:ascii="仿宋" w:hAnsi="仿宋" w:eastAsia="仿宋"/>
          <w:sz w:val="24"/>
          <w:szCs w:val="24"/>
          <w:lang w:val="en-US" w:eastAsia="zh-CN"/>
        </w:rPr>
        <w:t>如下：</w:t>
      </w:r>
    </w:p>
    <w:p>
      <w:pPr>
        <w:spacing w:line="360" w:lineRule="auto"/>
        <w:ind w:firstLine="408"/>
        <w:rPr>
          <w:rFonts w:hint="eastAsia" w:ascii="仿宋" w:hAnsi="仿宋" w:eastAsia="仿宋"/>
          <w:sz w:val="24"/>
          <w:szCs w:val="24"/>
        </w:rPr>
      </w:pPr>
      <w:r>
        <w:rPr>
          <w:rFonts w:hint="eastAsia" w:ascii="仿宋" w:hAnsi="仿宋" w:eastAsia="仿宋"/>
          <w:sz w:val="24"/>
          <w:szCs w:val="24"/>
        </w:rPr>
        <w:t>1.服务响应：7*24小时现场技术支持服务，2小时现场响应。当设备发生故障或系统发生问题，工程师在规定时间内抵达现场，了解设备运行情况，核实故障现象，并根据故障现象对设备进行故障分析、测试、诊断，并制定业务恢复和故障解决技术方案。根据故障诊断结果及时进行及时处理，确保在最快时间内恢复设备的正常使用状态，如果硬件损坏提供相应的备品备件。提供每周例行巡检服务，检测硬件平台运行情况提供巡检报告；针对清单内的设备提供配置变更服务，远程或现场完成配置及调试。</w:t>
      </w:r>
    </w:p>
    <w:p>
      <w:pPr>
        <w:spacing w:line="360" w:lineRule="auto"/>
        <w:ind w:firstLine="408"/>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highlight w:val="none"/>
        </w:rPr>
        <w:t>每</w:t>
      </w:r>
      <w:r>
        <w:rPr>
          <w:rFonts w:hint="eastAsia" w:ascii="仿宋" w:hAnsi="仿宋" w:eastAsia="仿宋"/>
          <w:sz w:val="24"/>
          <w:szCs w:val="24"/>
          <w:highlight w:val="none"/>
          <w:lang w:val="en-US" w:eastAsia="zh-CN"/>
        </w:rPr>
        <w:t>周</w:t>
      </w:r>
      <w:r>
        <w:rPr>
          <w:rFonts w:hint="eastAsia" w:ascii="仿宋" w:hAnsi="仿宋" w:eastAsia="仿宋"/>
          <w:sz w:val="24"/>
          <w:szCs w:val="24"/>
          <w:highlight w:val="none"/>
        </w:rPr>
        <w:t>提供</w:t>
      </w:r>
      <w:r>
        <w:rPr>
          <w:rFonts w:hint="eastAsia" w:ascii="仿宋" w:hAnsi="仿宋" w:eastAsia="仿宋"/>
          <w:sz w:val="24"/>
          <w:szCs w:val="24"/>
          <w:highlight w:val="none"/>
          <w:lang w:val="en-US" w:eastAsia="zh-CN"/>
        </w:rPr>
        <w:t>现场巡检服务，</w:t>
      </w:r>
      <w:r>
        <w:rPr>
          <w:rFonts w:hint="eastAsia" w:ascii="仿宋" w:hAnsi="仿宋" w:eastAsia="仿宋"/>
          <w:sz w:val="24"/>
          <w:szCs w:val="24"/>
          <w:lang w:val="en-US" w:eastAsia="zh-CN"/>
        </w:rPr>
        <w:t>并提供相应的</w:t>
      </w:r>
      <w:r>
        <w:rPr>
          <w:rFonts w:hint="eastAsia" w:ascii="仿宋" w:hAnsi="仿宋" w:eastAsia="仿宋"/>
          <w:sz w:val="24"/>
          <w:szCs w:val="24"/>
        </w:rPr>
        <w:t>设备运行性能及分析报告，并根据性能分析结果提出调优化方案并组织实施；</w:t>
      </w:r>
    </w:p>
    <w:p>
      <w:pPr>
        <w:spacing w:line="360" w:lineRule="auto"/>
        <w:ind w:firstLine="408"/>
        <w:rPr>
          <w:rFonts w:hint="eastAsia" w:ascii="仿宋" w:hAnsi="仿宋" w:eastAsia="仿宋"/>
          <w:sz w:val="24"/>
          <w:szCs w:val="24"/>
        </w:rPr>
      </w:pPr>
      <w:r>
        <w:rPr>
          <w:rFonts w:hint="eastAsia" w:ascii="仿宋" w:hAnsi="仿宋" w:eastAsia="仿宋"/>
          <w:sz w:val="24"/>
          <w:szCs w:val="24"/>
        </w:rPr>
        <w:t>3.如果机房停电提供技术人员现场技术支持进行停电保障服务，确保硬件不会损坏。</w:t>
      </w:r>
    </w:p>
    <w:p>
      <w:pPr>
        <w:spacing w:line="360" w:lineRule="auto"/>
        <w:ind w:firstLine="408"/>
        <w:rPr>
          <w:rFonts w:hint="eastAsia" w:ascii="仿宋" w:hAnsi="仿宋" w:eastAsia="仿宋"/>
          <w:sz w:val="24"/>
          <w:szCs w:val="24"/>
        </w:rPr>
      </w:pPr>
      <w:r>
        <w:rPr>
          <w:rFonts w:hint="eastAsia" w:ascii="仿宋" w:hAnsi="仿宋" w:eastAsia="仿宋"/>
          <w:sz w:val="24"/>
          <w:szCs w:val="24"/>
        </w:rPr>
        <w:t>4.开学期间及节假日提供现场技术支持及保障服务，确保平台工作正常。</w:t>
      </w:r>
    </w:p>
    <w:p>
      <w:pPr>
        <w:spacing w:line="360" w:lineRule="auto"/>
        <w:ind w:firstLine="408"/>
        <w:rPr>
          <w:rFonts w:hint="eastAsia" w:ascii="仿宋" w:hAnsi="仿宋" w:eastAsia="仿宋"/>
          <w:sz w:val="24"/>
          <w:szCs w:val="24"/>
        </w:rPr>
      </w:pPr>
      <w:r>
        <w:rPr>
          <w:rFonts w:hint="eastAsia" w:ascii="仿宋" w:hAnsi="仿宋" w:eastAsia="仿宋"/>
          <w:sz w:val="24"/>
          <w:szCs w:val="24"/>
        </w:rPr>
        <w:t>5.负责学校存储环境拓扑图的建立和完善，并做好整个存储网络环境及磁盘分配信息的统计。</w:t>
      </w:r>
    </w:p>
    <w:p>
      <w:pPr>
        <w:spacing w:line="360" w:lineRule="auto"/>
        <w:ind w:firstLine="408"/>
        <w:rPr>
          <w:rFonts w:hint="eastAsia" w:ascii="仿宋" w:hAnsi="仿宋" w:eastAsia="仿宋"/>
          <w:sz w:val="24"/>
          <w:szCs w:val="24"/>
        </w:rPr>
      </w:pPr>
      <w:r>
        <w:rPr>
          <w:rFonts w:hint="eastAsia" w:ascii="仿宋" w:hAnsi="仿宋" w:eastAsia="仿宋"/>
          <w:sz w:val="24"/>
          <w:szCs w:val="24"/>
        </w:rPr>
        <w:t>6.负责学校存储设备、卷分配等实施工作，存储故障的分析，及时处理和解决数据中心存储及服务器出现的各种问题。利用存储分析软件及设备，定期对学校存储环境进行优化。</w:t>
      </w:r>
    </w:p>
    <w:p>
      <w:pPr>
        <w:spacing w:line="360" w:lineRule="auto"/>
        <w:ind w:firstLine="408"/>
        <w:rPr>
          <w:rFonts w:hint="default" w:ascii="仿宋" w:hAnsi="仿宋" w:eastAsia="仿宋"/>
          <w:sz w:val="24"/>
          <w:szCs w:val="24"/>
          <w:lang w:val="en-US" w:eastAsia="zh-CN"/>
        </w:rPr>
      </w:pPr>
      <w:r>
        <w:rPr>
          <w:rFonts w:hint="eastAsia" w:ascii="仿宋" w:hAnsi="仿宋" w:eastAsia="仿宋"/>
          <w:sz w:val="24"/>
          <w:szCs w:val="24"/>
          <w:lang w:val="en-US" w:eastAsia="zh-CN"/>
        </w:rPr>
        <w:t>7.负责维保设备对应的虚拟化系统的正常运行巡检及故障处理工作。</w:t>
      </w:r>
    </w:p>
    <w:p>
      <w:pPr>
        <w:spacing w:line="360" w:lineRule="auto"/>
        <w:ind w:firstLine="408"/>
        <w:rPr>
          <w:rFonts w:hint="eastAsia" w:ascii="仿宋" w:hAnsi="仿宋" w:eastAsia="仿宋"/>
          <w:sz w:val="24"/>
          <w:szCs w:val="24"/>
        </w:rPr>
      </w:pPr>
    </w:p>
    <w:p>
      <w:pPr>
        <w:spacing w:line="360" w:lineRule="auto"/>
        <w:ind w:firstLine="408"/>
        <w:rPr>
          <w:rFonts w:hint="eastAsia" w:ascii="仿宋" w:hAnsi="仿宋" w:eastAsia="仿宋"/>
          <w:sz w:val="24"/>
          <w:szCs w:val="24"/>
        </w:rPr>
      </w:pPr>
      <w:r>
        <w:rPr>
          <w:rFonts w:hint="eastAsia" w:ascii="仿宋" w:hAnsi="仿宋" w:eastAsia="仿宋"/>
          <w:sz w:val="24"/>
          <w:szCs w:val="24"/>
        </w:rPr>
        <w:t>人员及工作要求</w:t>
      </w:r>
    </w:p>
    <w:p>
      <w:pPr>
        <w:spacing w:line="360" w:lineRule="auto"/>
        <w:ind w:firstLine="408"/>
        <w:rPr>
          <w:rFonts w:hint="eastAsia" w:ascii="仿宋" w:hAnsi="仿宋" w:eastAsia="仿宋"/>
          <w:sz w:val="24"/>
          <w:szCs w:val="24"/>
        </w:rPr>
      </w:pPr>
      <w:r>
        <w:rPr>
          <w:rFonts w:hint="eastAsia" w:ascii="仿宋" w:hAnsi="仿宋" w:eastAsia="仿宋"/>
          <w:sz w:val="24"/>
          <w:szCs w:val="24"/>
        </w:rPr>
        <w:t>1、需建立人员固定的维护团队2人。维护团队必须服从学校的任意调配。在合同有效期内不得随意更换人员配置，确保维护人员稳定。</w:t>
      </w:r>
    </w:p>
    <w:p>
      <w:pPr>
        <w:spacing w:line="360" w:lineRule="auto"/>
        <w:ind w:firstLine="408"/>
        <w:rPr>
          <w:rFonts w:hint="eastAsia" w:ascii="仿宋" w:hAnsi="仿宋" w:eastAsia="仿宋"/>
          <w:sz w:val="24"/>
          <w:szCs w:val="24"/>
        </w:rPr>
      </w:pPr>
      <w:r>
        <w:rPr>
          <w:rFonts w:hint="eastAsia" w:ascii="仿宋" w:hAnsi="仿宋" w:eastAsia="仿宋"/>
          <w:sz w:val="24"/>
          <w:szCs w:val="24"/>
        </w:rPr>
        <w:t>2、维护团队必须设运维负责人1名，其余人员有类似项目的服务经验（提供个人简历）。</w:t>
      </w:r>
    </w:p>
    <w:p>
      <w:pPr>
        <w:spacing w:line="360" w:lineRule="auto"/>
        <w:ind w:firstLine="408"/>
        <w:rPr>
          <w:rFonts w:hint="eastAsia" w:ascii="仿宋" w:hAnsi="仿宋" w:eastAsia="仿宋"/>
          <w:sz w:val="24"/>
          <w:szCs w:val="24"/>
        </w:rPr>
      </w:pPr>
      <w:r>
        <w:rPr>
          <w:rFonts w:hint="eastAsia" w:ascii="仿宋" w:hAnsi="仿宋" w:eastAsia="仿宋"/>
          <w:sz w:val="24"/>
          <w:szCs w:val="24"/>
        </w:rPr>
        <w:t>3、建立维护工作流程。维修同时做好维修记录、月报等记录文件。</w:t>
      </w:r>
    </w:p>
    <w:p>
      <w:pPr>
        <w:spacing w:line="360" w:lineRule="auto"/>
        <w:ind w:firstLine="408"/>
        <w:rPr>
          <w:rFonts w:hint="eastAsia" w:ascii="仿宋" w:hAnsi="仿宋" w:eastAsia="仿宋"/>
          <w:sz w:val="24"/>
          <w:szCs w:val="24"/>
        </w:rPr>
      </w:pPr>
      <w:r>
        <w:rPr>
          <w:rFonts w:hint="eastAsia" w:ascii="仿宋" w:hAnsi="仿宋" w:eastAsia="仿宋"/>
          <w:sz w:val="24"/>
          <w:szCs w:val="24"/>
        </w:rPr>
        <w:t>4、提供7×24小时的故障受理，30分钟内故障处理响应服务，2小时内到达现场排查解决。故障包含硬件、软件故障等，导致系统不能正常运行的一切故障对象。</w:t>
      </w:r>
    </w:p>
    <w:p>
      <w:pPr>
        <w:spacing w:line="360" w:lineRule="auto"/>
        <w:ind w:firstLine="408"/>
        <w:rPr>
          <w:rFonts w:hint="eastAsia" w:ascii="仿宋" w:hAnsi="仿宋" w:eastAsia="仿宋"/>
          <w:sz w:val="24"/>
          <w:szCs w:val="24"/>
        </w:rPr>
      </w:pPr>
      <w:r>
        <w:rPr>
          <w:rFonts w:hint="eastAsia" w:ascii="仿宋" w:hAnsi="仿宋" w:eastAsia="仿宋"/>
          <w:sz w:val="24"/>
          <w:szCs w:val="24"/>
        </w:rPr>
        <w:t>5、针对维护记录，每学期发放1-3 次常见故障技术指南PPT。</w:t>
      </w:r>
    </w:p>
    <w:p>
      <w:pPr>
        <w:spacing w:line="360" w:lineRule="auto"/>
        <w:ind w:firstLine="408"/>
        <w:rPr>
          <w:rFonts w:hint="eastAsia" w:ascii="仿宋" w:hAnsi="仿宋" w:eastAsia="仿宋"/>
          <w:sz w:val="24"/>
          <w:szCs w:val="24"/>
        </w:rPr>
      </w:pPr>
      <w:r>
        <w:rPr>
          <w:rFonts w:hint="eastAsia" w:ascii="仿宋" w:hAnsi="仿宋" w:eastAsia="仿宋"/>
          <w:sz w:val="24"/>
          <w:szCs w:val="24"/>
        </w:rPr>
        <w:t>6、必须制定详尽的、有效的、结合学校实际情况的信息化系统各级应急预案。</w:t>
      </w:r>
    </w:p>
    <w:p>
      <w:pPr>
        <w:spacing w:line="360" w:lineRule="auto"/>
        <w:ind w:firstLine="408"/>
        <w:rPr>
          <w:rFonts w:hint="eastAsia" w:ascii="仿宋" w:hAnsi="仿宋" w:eastAsia="仿宋"/>
          <w:sz w:val="24"/>
          <w:szCs w:val="24"/>
        </w:rPr>
      </w:pPr>
      <w:r>
        <w:rPr>
          <w:rFonts w:hint="eastAsia" w:ascii="仿宋" w:hAnsi="仿宋" w:eastAsia="仿宋"/>
          <w:sz w:val="24"/>
          <w:szCs w:val="24"/>
        </w:rPr>
        <w:t>应急维护要求</w:t>
      </w:r>
    </w:p>
    <w:p>
      <w:pPr>
        <w:spacing w:line="360" w:lineRule="auto"/>
        <w:ind w:firstLine="408"/>
        <w:rPr>
          <w:rFonts w:hint="eastAsia" w:ascii="仿宋" w:hAnsi="仿宋" w:eastAsia="仿宋"/>
          <w:sz w:val="24"/>
          <w:szCs w:val="24"/>
        </w:rPr>
      </w:pPr>
      <w:r>
        <w:rPr>
          <w:rFonts w:hint="eastAsia" w:ascii="仿宋" w:hAnsi="仿宋" w:eastAsia="仿宋"/>
          <w:sz w:val="24"/>
          <w:szCs w:val="24"/>
        </w:rPr>
        <w:t>1、系统正常运行期间，一旦发现有设备或软件不能正常工作，导致系统瘫痪或重要功能失效时，工程师立即响应进行故障排查。</w:t>
      </w:r>
    </w:p>
    <w:p>
      <w:pPr>
        <w:spacing w:line="360" w:lineRule="auto"/>
        <w:ind w:firstLine="408"/>
        <w:rPr>
          <w:rFonts w:hint="eastAsia" w:ascii="仿宋" w:hAnsi="仿宋" w:eastAsia="仿宋"/>
          <w:sz w:val="24"/>
          <w:szCs w:val="24"/>
        </w:rPr>
      </w:pPr>
      <w:r>
        <w:rPr>
          <w:rFonts w:hint="eastAsia" w:ascii="仿宋" w:hAnsi="仿宋" w:eastAsia="仿宋"/>
          <w:sz w:val="24"/>
          <w:szCs w:val="24"/>
        </w:rPr>
        <w:t>2、对未能在2小时内修复故障，应立即启动应急预案，并同时向学校相关部门上报故障初步原因、造成的影响程度及临时采取的应急措施，并及时组织人员、备件或其它可用资源，尽快排除故障，恢复系统正常工作。</w:t>
      </w:r>
    </w:p>
    <w:p>
      <w:pPr>
        <w:spacing w:line="360" w:lineRule="auto"/>
        <w:ind w:firstLine="408"/>
        <w:rPr>
          <w:rFonts w:hint="eastAsia" w:ascii="仿宋" w:hAnsi="仿宋" w:eastAsia="仿宋"/>
          <w:sz w:val="24"/>
          <w:szCs w:val="24"/>
        </w:rPr>
      </w:pPr>
      <w:r>
        <w:rPr>
          <w:rFonts w:hint="eastAsia" w:ascii="仿宋" w:hAnsi="仿宋" w:eastAsia="仿宋"/>
          <w:sz w:val="24"/>
          <w:szCs w:val="24"/>
        </w:rPr>
        <w:t>3、应急维护工作结束后的4小时内，填写系统应急服务维修记录单，说明故障详细原因、采取的修复方法等信息，并由应急维护负责人签字，经用户方确认签字后，一式肆份存档。</w:t>
      </w:r>
    </w:p>
    <w:p>
      <w:pPr>
        <w:spacing w:line="360" w:lineRule="auto"/>
        <w:ind w:firstLine="408"/>
        <w:rPr>
          <w:rFonts w:hint="eastAsia" w:ascii="仿宋" w:hAnsi="仿宋" w:eastAsia="仿宋"/>
          <w:sz w:val="24"/>
          <w:szCs w:val="24"/>
        </w:rPr>
      </w:pPr>
      <w:r>
        <w:rPr>
          <w:rFonts w:hint="eastAsia" w:ascii="仿宋" w:hAnsi="仿宋" w:eastAsia="仿宋"/>
          <w:sz w:val="24"/>
          <w:szCs w:val="24"/>
        </w:rPr>
        <w:t>4、一旦现场应急维护人员无法处理故障问题时，投标人应急时调派具有相应能力的工程师或协调厂商工程师前来处理。</w:t>
      </w:r>
    </w:p>
    <w:p>
      <w:pPr>
        <w:numPr>
          <w:ilvl w:val="0"/>
          <w:numId w:val="0"/>
        </w:numPr>
        <w:spacing w:line="360" w:lineRule="auto"/>
        <w:rPr>
          <w:rFonts w:hint="eastAsia"/>
          <w:sz w:val="24"/>
        </w:rPr>
      </w:pPr>
    </w:p>
    <w:p>
      <w:pPr>
        <w:numPr>
          <w:ilvl w:val="0"/>
          <w:numId w:val="1"/>
        </w:numPr>
        <w:spacing w:line="360" w:lineRule="auto"/>
        <w:rPr>
          <w:rFonts w:hint="eastAsia"/>
          <w:sz w:val="24"/>
        </w:rPr>
      </w:pPr>
      <w:r>
        <w:rPr>
          <w:rFonts w:hint="eastAsia"/>
          <w:sz w:val="24"/>
        </w:rPr>
        <w:t>采购项目的明细数量、交付或实施时间、地点</w:t>
      </w:r>
    </w:p>
    <w:p>
      <w:pPr>
        <w:numPr>
          <w:ilvl w:val="0"/>
          <w:numId w:val="0"/>
        </w:numPr>
        <w:spacing w:line="360" w:lineRule="auto"/>
        <w:rPr>
          <w:rFonts w:hint="default" w:eastAsiaTheme="minorEastAsia"/>
          <w:b/>
          <w:bCs/>
          <w:sz w:val="24"/>
          <w:lang w:val="en-US" w:eastAsia="zh-CN"/>
        </w:rPr>
      </w:pPr>
      <w:r>
        <w:rPr>
          <w:rFonts w:hint="eastAsia"/>
          <w:b/>
          <w:bCs/>
          <w:sz w:val="24"/>
          <w:lang w:val="en-US" w:eastAsia="zh-CN"/>
        </w:rPr>
        <w:t>1、硬件维保设备清单如下：</w:t>
      </w:r>
    </w:p>
    <w:p>
      <w:pPr>
        <w:numPr>
          <w:ilvl w:val="0"/>
          <w:numId w:val="0"/>
        </w:numPr>
        <w:spacing w:line="360" w:lineRule="auto"/>
        <w:rPr>
          <w:rFonts w:hint="eastAsia"/>
          <w:sz w:val="24"/>
          <w:lang w:val="en-US" w:eastAsia="zh-CN"/>
        </w:rPr>
      </w:pPr>
    </w:p>
    <w:tbl>
      <w:tblPr>
        <w:tblStyle w:val="9"/>
        <w:tblpPr w:leftFromText="180" w:rightFromText="180" w:vertAnchor="text" w:horzAnchor="margin" w:tblpY="79"/>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7"/>
        <w:gridCol w:w="1708"/>
        <w:gridCol w:w="2549"/>
        <w:gridCol w:w="94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517"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服务器品牌</w:t>
            </w:r>
          </w:p>
        </w:tc>
        <w:tc>
          <w:tcPr>
            <w:tcW w:w="1708"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设备类型</w:t>
            </w:r>
          </w:p>
        </w:tc>
        <w:tc>
          <w:tcPr>
            <w:tcW w:w="2549"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型号</w:t>
            </w:r>
          </w:p>
        </w:tc>
        <w:tc>
          <w:tcPr>
            <w:tcW w:w="941"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242" w:type="dxa"/>
            <w:noWrap w:val="0"/>
            <w:vAlign w:val="center"/>
          </w:tcPr>
          <w:p>
            <w:pPr>
              <w:widowControl/>
              <w:jc w:val="center"/>
              <w:rPr>
                <w:rFonts w:hint="default" w:ascii="宋体" w:hAnsi="宋体" w:cs="宋体" w:eastAsiaTheme="minorEastAsia"/>
                <w:b/>
                <w:bCs/>
                <w:color w:val="000000"/>
                <w:kern w:val="0"/>
                <w:sz w:val="24"/>
                <w:szCs w:val="24"/>
                <w:lang w:val="en-US" w:eastAsia="zh-CN"/>
              </w:rPr>
            </w:pPr>
            <w:r>
              <w:rPr>
                <w:rFonts w:hint="eastAsia" w:ascii="宋体" w:hAnsi="宋体" w:cs="宋体"/>
                <w:b/>
                <w:bCs/>
                <w:color w:val="000000"/>
                <w:kern w:val="0"/>
                <w:sz w:val="24"/>
                <w:szCs w:val="24"/>
                <w:lang w:val="en-US" w:eastAsia="zh-CN"/>
              </w:rPr>
              <w:t>维保时间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机架式服务器</w:t>
            </w:r>
          </w:p>
        </w:tc>
        <w:tc>
          <w:tcPr>
            <w:tcW w:w="2549" w:type="dxa"/>
            <w:noWrap/>
            <w:vAlign w:val="center"/>
          </w:tcPr>
          <w:p>
            <w:pPr>
              <w:widowControl/>
              <w:jc w:val="center"/>
              <w:rPr>
                <w:rFonts w:ascii="宋体" w:hAnsi="宋体"/>
                <w:color w:val="000000"/>
                <w:kern w:val="0"/>
                <w:sz w:val="24"/>
                <w:szCs w:val="24"/>
              </w:rPr>
            </w:pPr>
            <w:r>
              <w:rPr>
                <w:rFonts w:ascii="宋体" w:hAnsi="宋体"/>
                <w:color w:val="000000"/>
                <w:sz w:val="24"/>
                <w:szCs w:val="24"/>
              </w:rPr>
              <w:t>DELL R730</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1</w:t>
            </w:r>
          </w:p>
        </w:tc>
        <w:tc>
          <w:tcPr>
            <w:tcW w:w="1242" w:type="dxa"/>
            <w:vMerge w:val="restart"/>
            <w:noWrap/>
            <w:vAlign w:val="center"/>
          </w:tcPr>
          <w:p>
            <w:pPr>
              <w:widowControl/>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机架式服务器</w:t>
            </w:r>
          </w:p>
        </w:tc>
        <w:tc>
          <w:tcPr>
            <w:tcW w:w="2549"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DELL R720</w:t>
            </w:r>
          </w:p>
        </w:tc>
        <w:tc>
          <w:tcPr>
            <w:tcW w:w="941"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8</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PS6210</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517"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PS6110</w:t>
            </w:r>
          </w:p>
        </w:tc>
        <w:tc>
          <w:tcPr>
            <w:tcW w:w="941" w:type="dxa"/>
            <w:noWrap/>
            <w:vAlign w:val="center"/>
          </w:tcPr>
          <w:p>
            <w:pPr>
              <w:widowControl/>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Equallogic PS4100</w:t>
            </w:r>
          </w:p>
        </w:tc>
        <w:tc>
          <w:tcPr>
            <w:tcW w:w="941" w:type="dxa"/>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olor w:val="000000"/>
                <w:sz w:val="24"/>
                <w:szCs w:val="24"/>
                <w:lang w:val="en-US" w:eastAsia="zh-CN"/>
              </w:rPr>
              <w:t>3</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存储</w:t>
            </w:r>
          </w:p>
        </w:tc>
        <w:tc>
          <w:tcPr>
            <w:tcW w:w="2549" w:type="dxa"/>
            <w:noWrap/>
            <w:vAlign w:val="center"/>
          </w:tcPr>
          <w:p>
            <w:pPr>
              <w:widowControl/>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DELL VNX 5200</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2</w:t>
            </w:r>
          </w:p>
        </w:tc>
        <w:tc>
          <w:tcPr>
            <w:tcW w:w="1242" w:type="dxa"/>
            <w:vMerge w:val="continue"/>
            <w:noWrap/>
            <w:vAlign w:val="center"/>
          </w:tcPr>
          <w:p>
            <w:pPr>
              <w:widowControl/>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1517"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双活存储网关</w:t>
            </w:r>
          </w:p>
        </w:tc>
        <w:tc>
          <w:tcPr>
            <w:tcW w:w="2549" w:type="dxa"/>
            <w:noWrap/>
            <w:vAlign w:val="center"/>
          </w:tcPr>
          <w:p>
            <w:pPr>
              <w:widowControl/>
              <w:jc w:val="center"/>
              <w:rPr>
                <w:rFonts w:ascii="宋体" w:hAnsi="宋体"/>
                <w:color w:val="000000"/>
                <w:kern w:val="0"/>
                <w:sz w:val="24"/>
                <w:szCs w:val="24"/>
              </w:rPr>
            </w:pPr>
            <w:r>
              <w:rPr>
                <w:rFonts w:ascii="宋体" w:hAnsi="宋体"/>
                <w:color w:val="000000"/>
                <w:sz w:val="24"/>
                <w:szCs w:val="24"/>
              </w:rPr>
              <w:t>DELL VPLEX local</w:t>
            </w:r>
          </w:p>
        </w:tc>
        <w:tc>
          <w:tcPr>
            <w:tcW w:w="941" w:type="dxa"/>
            <w:noWrap/>
            <w:vAlign w:val="center"/>
          </w:tcPr>
          <w:p>
            <w:pPr>
              <w:widowControl/>
              <w:jc w:val="center"/>
              <w:rPr>
                <w:rFonts w:ascii="宋体" w:hAnsi="宋体" w:cs="宋体"/>
                <w:color w:val="000000"/>
                <w:kern w:val="0"/>
                <w:sz w:val="24"/>
                <w:szCs w:val="24"/>
              </w:rPr>
            </w:pPr>
            <w:r>
              <w:rPr>
                <w:rFonts w:hint="eastAsia" w:ascii="宋体" w:hAnsi="宋体"/>
                <w:color w:val="000000"/>
                <w:sz w:val="24"/>
                <w:szCs w:val="24"/>
              </w:rPr>
              <w:t>2</w:t>
            </w:r>
          </w:p>
        </w:tc>
        <w:tc>
          <w:tcPr>
            <w:tcW w:w="1242" w:type="dxa"/>
            <w:vMerge w:val="continue"/>
            <w:noWrap/>
            <w:vAlign w:val="center"/>
          </w:tcPr>
          <w:p>
            <w:pPr>
              <w:widowControl/>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刀箱</w:t>
            </w:r>
          </w:p>
        </w:tc>
        <w:tc>
          <w:tcPr>
            <w:tcW w:w="2549" w:type="dxa"/>
            <w:noWrap/>
            <w:vAlign w:val="center"/>
          </w:tcPr>
          <w:p>
            <w:pPr>
              <w:widowControl/>
              <w:jc w:val="center"/>
              <w:rPr>
                <w:rFonts w:ascii="宋体" w:hAnsi="宋体"/>
                <w:color w:val="000000"/>
                <w:sz w:val="24"/>
                <w:szCs w:val="24"/>
              </w:rPr>
            </w:pPr>
            <w:r>
              <w:rPr>
                <w:rFonts w:hint="eastAsia" w:ascii="仿宋" w:hAnsi="仿宋" w:eastAsia="仿宋" w:cs="宋体"/>
                <w:kern w:val="0"/>
                <w:sz w:val="24"/>
              </w:rPr>
              <w:t>Dell ME1000E</w:t>
            </w:r>
          </w:p>
        </w:tc>
        <w:tc>
          <w:tcPr>
            <w:tcW w:w="941" w:type="dxa"/>
            <w:noWrap/>
            <w:vAlign w:val="center"/>
          </w:tcPr>
          <w:p>
            <w:pPr>
              <w:widowControl/>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1517"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戴尔</w:t>
            </w:r>
          </w:p>
        </w:tc>
        <w:tc>
          <w:tcPr>
            <w:tcW w:w="1708" w:type="dxa"/>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刀片服务器</w:t>
            </w:r>
          </w:p>
        </w:tc>
        <w:tc>
          <w:tcPr>
            <w:tcW w:w="2549"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DELL M620</w:t>
            </w:r>
          </w:p>
        </w:tc>
        <w:tc>
          <w:tcPr>
            <w:tcW w:w="941" w:type="dxa"/>
            <w:noWrap/>
            <w:vAlign w:val="center"/>
          </w:tcPr>
          <w:p>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4"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517" w:type="dxa"/>
            <w:noWrap/>
            <w:vAlign w:val="center"/>
          </w:tcPr>
          <w:p>
            <w:pPr>
              <w:widowControl/>
              <w:jc w:val="center"/>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戴尔</w:t>
            </w:r>
          </w:p>
        </w:tc>
        <w:tc>
          <w:tcPr>
            <w:tcW w:w="1708" w:type="dxa"/>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刀片服务器</w:t>
            </w:r>
          </w:p>
        </w:tc>
        <w:tc>
          <w:tcPr>
            <w:tcW w:w="2549"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color w:val="000000"/>
                <w:sz w:val="24"/>
                <w:szCs w:val="24"/>
                <w:lang w:val="en-US" w:eastAsia="zh-CN"/>
              </w:rPr>
              <w:t>DELL M630</w:t>
            </w:r>
          </w:p>
        </w:tc>
        <w:tc>
          <w:tcPr>
            <w:tcW w:w="941" w:type="dxa"/>
            <w:noWrap/>
            <w:vAlign w:val="center"/>
          </w:tcPr>
          <w:p>
            <w:pPr>
              <w:widowControl/>
              <w:jc w:val="center"/>
              <w:rPr>
                <w:rFonts w:hint="eastAsia" w:ascii="宋体" w:hAnsi="宋体" w:eastAsia="宋体" w:cstheme="minorBidi"/>
                <w:color w:val="000000"/>
                <w:kern w:val="2"/>
                <w:sz w:val="24"/>
                <w:szCs w:val="24"/>
                <w:lang w:val="en-US" w:eastAsia="zh-CN" w:bidi="ar-SA"/>
              </w:rPr>
            </w:pPr>
            <w:r>
              <w:rPr>
                <w:rFonts w:hint="eastAsia" w:ascii="宋体" w:hAnsi="宋体"/>
                <w:color w:val="000000"/>
                <w:sz w:val="24"/>
                <w:szCs w:val="24"/>
                <w:lang w:val="en-US" w:eastAsia="zh-CN"/>
              </w:rPr>
              <w:t>16</w:t>
            </w:r>
          </w:p>
        </w:tc>
        <w:tc>
          <w:tcPr>
            <w:tcW w:w="1242" w:type="dxa"/>
            <w:vMerge w:val="continue"/>
            <w:noWrap/>
            <w:vAlign w:val="center"/>
          </w:tcPr>
          <w:p>
            <w:pPr>
              <w:widowControl/>
              <w:jc w:val="center"/>
              <w:rPr>
                <w:rFonts w:hint="eastAsia" w:ascii="宋体" w:hAnsi="宋体"/>
                <w:color w:val="000000"/>
                <w:sz w:val="24"/>
                <w:szCs w:val="24"/>
                <w:lang w:val="en-US" w:eastAsia="zh-CN"/>
              </w:rPr>
            </w:pPr>
          </w:p>
        </w:tc>
      </w:tr>
    </w:tbl>
    <w:p>
      <w:pPr>
        <w:numPr>
          <w:ilvl w:val="0"/>
          <w:numId w:val="0"/>
        </w:numPr>
        <w:spacing w:line="360" w:lineRule="auto"/>
        <w:rPr>
          <w:rFonts w:hint="eastAsia" w:eastAsiaTheme="minorEastAsia"/>
          <w:sz w:val="24"/>
          <w:lang w:val="en-US" w:eastAsia="zh-CN"/>
        </w:rPr>
      </w:pPr>
    </w:p>
    <w:p>
      <w:pPr>
        <w:numPr>
          <w:ilvl w:val="0"/>
          <w:numId w:val="2"/>
        </w:numPr>
        <w:spacing w:line="360" w:lineRule="auto"/>
        <w:rPr>
          <w:rFonts w:hint="eastAsia"/>
          <w:b/>
          <w:bCs/>
          <w:sz w:val="24"/>
          <w:highlight w:val="none"/>
          <w:lang w:val="en-US" w:eastAsia="zh-CN"/>
        </w:rPr>
      </w:pPr>
      <w:r>
        <w:rPr>
          <w:rFonts w:hint="eastAsia"/>
          <w:b/>
          <w:bCs/>
          <w:sz w:val="24"/>
          <w:highlight w:val="none"/>
          <w:lang w:val="en-US" w:eastAsia="zh-CN"/>
        </w:rPr>
        <w:t>提供Vmware虚拟化服务：</w:t>
      </w:r>
    </w:p>
    <w:tbl>
      <w:tblPr>
        <w:tblStyle w:val="9"/>
        <w:tblpPr w:leftFromText="180" w:rightFromText="180" w:vertAnchor="text" w:horzAnchor="margin" w:tblpY="79"/>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26"/>
        <w:gridCol w:w="2495"/>
        <w:gridCol w:w="23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526"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品牌</w:t>
            </w:r>
          </w:p>
        </w:tc>
        <w:tc>
          <w:tcPr>
            <w:tcW w:w="2495" w:type="dxa"/>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类型</w:t>
            </w:r>
          </w:p>
        </w:tc>
        <w:tc>
          <w:tcPr>
            <w:tcW w:w="2355" w:type="dxa"/>
            <w:noWrap w:val="0"/>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lang w:val="en-US" w:eastAsia="zh-CN"/>
              </w:rPr>
              <w:t>数量</w:t>
            </w:r>
          </w:p>
        </w:tc>
        <w:tc>
          <w:tcPr>
            <w:tcW w:w="870" w:type="dxa"/>
            <w:noWrap w:val="0"/>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526"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Vmware</w:t>
            </w:r>
          </w:p>
        </w:tc>
        <w:tc>
          <w:tcPr>
            <w:tcW w:w="2495" w:type="dxa"/>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虚拟化平台标准服务</w:t>
            </w:r>
          </w:p>
        </w:tc>
        <w:tc>
          <w:tcPr>
            <w:tcW w:w="2355" w:type="dxa"/>
            <w:noWrap/>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870" w:type="dxa"/>
            <w:noWrap/>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年</w:t>
            </w:r>
          </w:p>
        </w:tc>
      </w:tr>
    </w:tbl>
    <w:p>
      <w:pPr>
        <w:numPr>
          <w:ilvl w:val="0"/>
          <w:numId w:val="0"/>
        </w:numPr>
        <w:spacing w:line="360" w:lineRule="auto"/>
        <w:rPr>
          <w:rFonts w:hint="eastAsia"/>
          <w:b/>
          <w:bCs/>
          <w:sz w:val="24"/>
          <w:highlight w:val="none"/>
          <w:lang w:val="en-US" w:eastAsia="zh-CN"/>
        </w:rPr>
      </w:pPr>
    </w:p>
    <w:p>
      <w:pPr>
        <w:numPr>
          <w:ilvl w:val="0"/>
          <w:numId w:val="0"/>
        </w:numPr>
        <w:spacing w:line="360" w:lineRule="auto"/>
        <w:rPr>
          <w:rFonts w:hint="default" w:eastAsiaTheme="minorEastAsia"/>
          <w:b/>
          <w:bCs/>
          <w:sz w:val="24"/>
          <w:highlight w:val="none"/>
          <w:lang w:val="en-US" w:eastAsia="zh-CN"/>
        </w:rPr>
      </w:pPr>
      <w:r>
        <w:rPr>
          <w:rFonts w:hint="eastAsia"/>
          <w:b/>
          <w:bCs/>
          <w:sz w:val="24"/>
          <w:lang w:val="en-US" w:eastAsia="zh-CN"/>
        </w:rPr>
        <w:t>3、</w:t>
      </w:r>
      <w:r>
        <w:rPr>
          <w:rFonts w:hint="eastAsia"/>
          <w:b/>
          <w:bCs/>
          <w:sz w:val="24"/>
          <w:highlight w:val="none"/>
          <w:lang w:val="en-US" w:eastAsia="zh-CN"/>
        </w:rPr>
        <w:t>提供以下备品、备件在维保期限内放在学校仓库，维保期过后归还。</w:t>
      </w:r>
    </w:p>
    <w:tbl>
      <w:tblPr>
        <w:tblStyle w:val="10"/>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26"/>
        <w:gridCol w:w="2484"/>
        <w:gridCol w:w="2366"/>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1526"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服务器品牌</w:t>
            </w:r>
          </w:p>
        </w:tc>
        <w:tc>
          <w:tcPr>
            <w:tcW w:w="2484"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设备类型</w:t>
            </w:r>
          </w:p>
        </w:tc>
        <w:tc>
          <w:tcPr>
            <w:tcW w:w="2366"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型号</w:t>
            </w:r>
          </w:p>
        </w:tc>
        <w:tc>
          <w:tcPr>
            <w:tcW w:w="910" w:type="dxa"/>
            <w:vAlign w:val="center"/>
          </w:tcPr>
          <w:p>
            <w:pPr>
              <w:widowControl/>
              <w:suppressAutoHyphens w:val="0"/>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526"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Compellent硬盘</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800G SSD硬盘</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color w:val="00000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2</w:t>
            </w:r>
          </w:p>
        </w:tc>
        <w:tc>
          <w:tcPr>
            <w:tcW w:w="1526" w:type="dxa"/>
            <w:noWrap/>
            <w:vAlign w:val="center"/>
          </w:tcPr>
          <w:p>
            <w:pPr>
              <w:widowControl/>
              <w:suppressAutoHyphens w:val="0"/>
              <w:jc w:val="center"/>
              <w:rPr>
                <w:rFonts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Compellent硬盘</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1.92TB SSD 硬盘</w:t>
            </w:r>
          </w:p>
        </w:tc>
        <w:tc>
          <w:tcPr>
            <w:tcW w:w="910"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w:t>
            </w:r>
          </w:p>
        </w:tc>
        <w:tc>
          <w:tcPr>
            <w:tcW w:w="1526"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Equallogic硬盘</w:t>
            </w:r>
          </w:p>
        </w:tc>
        <w:tc>
          <w:tcPr>
            <w:tcW w:w="2366"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600G 15K SAS硬盘</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val="en-US" w:eastAsia="zh-CN" w:bidi="ar-SA"/>
              </w:rPr>
            </w:pPr>
            <w:r>
              <w:rPr>
                <w:rFonts w:hint="eastAsia"/>
                <w:color w:val="000000"/>
                <w:sz w:val="22"/>
                <w:szCs w:val="2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ascii="宋体" w:hAnsi="宋体" w:cs="宋体"/>
                <w:color w:val="000000"/>
                <w:kern w:val="0"/>
                <w:sz w:val="22"/>
                <w:szCs w:val="22"/>
                <w:highlight w:val="none"/>
                <w:lang w:val="en-US" w:eastAsia="zh-CN"/>
              </w:rPr>
              <w:t>4</w:t>
            </w:r>
          </w:p>
        </w:tc>
        <w:tc>
          <w:tcPr>
            <w:tcW w:w="1526" w:type="dxa"/>
            <w:noWrap/>
            <w:vAlign w:val="center"/>
          </w:tcPr>
          <w:p>
            <w:pPr>
              <w:widowControl/>
              <w:suppressAutoHyphens w:val="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VPLEX控制器模块</w:t>
            </w:r>
          </w:p>
        </w:tc>
        <w:tc>
          <w:tcPr>
            <w:tcW w:w="2366" w:type="dxa"/>
            <w:noWrap/>
            <w:vAlign w:val="center"/>
          </w:tcPr>
          <w:p>
            <w:pPr>
              <w:widowControl/>
              <w:suppressAutoHyphens w:val="0"/>
              <w:jc w:val="center"/>
              <w:rPr>
                <w:rFonts w:hint="default" w:ascii="宋体" w:hAnsi="宋体" w:cs="宋体" w:eastAsiaTheme="minorEastAsia"/>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VPLEX LOCAL</w:t>
            </w:r>
          </w:p>
        </w:tc>
        <w:tc>
          <w:tcPr>
            <w:tcW w:w="910" w:type="dxa"/>
            <w:noWrap/>
            <w:vAlign w:val="center"/>
          </w:tcPr>
          <w:p>
            <w:pPr>
              <w:widowControl/>
              <w:suppressAutoHyphens w:val="0"/>
              <w:jc w:val="center"/>
              <w:rPr>
                <w:rFonts w:hint="eastAsia" w:ascii="宋体" w:hAnsi="宋体" w:cs="宋体" w:eastAsiaTheme="minorEastAsia"/>
                <w:color w:val="000000"/>
                <w:kern w:val="0"/>
                <w:sz w:val="22"/>
                <w:szCs w:val="22"/>
                <w:highlight w:val="none"/>
                <w:lang w:eastAsia="zh-CN"/>
              </w:rPr>
            </w:pPr>
            <w:r>
              <w:rPr>
                <w:rFonts w:hint="eastAsia"/>
                <w:color w:val="000000"/>
                <w:sz w:val="22"/>
                <w:szCs w:val="22"/>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w:t>
            </w:r>
          </w:p>
        </w:tc>
        <w:tc>
          <w:tcPr>
            <w:tcW w:w="1526" w:type="dxa"/>
            <w:noWrap/>
            <w:vAlign w:val="center"/>
          </w:tcPr>
          <w:p>
            <w:pPr>
              <w:widowControl/>
              <w:suppressAutoHyphens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戴尔</w:t>
            </w:r>
          </w:p>
        </w:tc>
        <w:tc>
          <w:tcPr>
            <w:tcW w:w="2484"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VNX5200硬盘</w:t>
            </w:r>
          </w:p>
        </w:tc>
        <w:tc>
          <w:tcPr>
            <w:tcW w:w="2366" w:type="dxa"/>
            <w:noWrap/>
            <w:vAlign w:val="center"/>
          </w:tcPr>
          <w:p>
            <w:pPr>
              <w:widowControl/>
              <w:suppressAutoHyphens w:val="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600GB 10K 硬盘</w:t>
            </w:r>
          </w:p>
        </w:tc>
        <w:tc>
          <w:tcPr>
            <w:tcW w:w="910" w:type="dxa"/>
            <w:noWrap/>
            <w:vAlign w:val="center"/>
          </w:tcPr>
          <w:p>
            <w:pPr>
              <w:widowControl/>
              <w:suppressAutoHyphens w:val="0"/>
              <w:jc w:val="center"/>
              <w:rPr>
                <w:rFonts w:hint="default"/>
                <w:color w:val="000000"/>
                <w:sz w:val="22"/>
                <w:szCs w:val="22"/>
                <w:highlight w:val="none"/>
                <w:lang w:val="en-US" w:eastAsia="zh-CN"/>
              </w:rPr>
            </w:pPr>
            <w:r>
              <w:rPr>
                <w:rFonts w:hint="eastAsia"/>
                <w:color w:val="000000"/>
                <w:sz w:val="22"/>
                <w:szCs w:val="22"/>
                <w:highlight w:val="none"/>
                <w:lang w:val="en-US" w:eastAsia="zh-CN"/>
              </w:rPr>
              <w:t>2</w:t>
            </w:r>
          </w:p>
        </w:tc>
      </w:tr>
    </w:tbl>
    <w:p>
      <w:pPr>
        <w:numPr>
          <w:ilvl w:val="0"/>
          <w:numId w:val="0"/>
        </w:numPr>
        <w:spacing w:line="360" w:lineRule="auto"/>
        <w:rPr>
          <w:rFonts w:hint="default"/>
          <w:sz w:val="24"/>
          <w:lang w:val="en-US" w:eastAsia="zh-CN"/>
        </w:rPr>
      </w:pPr>
    </w:p>
    <w:p>
      <w:pPr>
        <w:numPr>
          <w:ilvl w:val="0"/>
          <w:numId w:val="0"/>
        </w:numPr>
        <w:spacing w:line="360" w:lineRule="auto"/>
        <w:rPr>
          <w:rFonts w:hint="eastAsia"/>
          <w:sz w:val="24"/>
        </w:rPr>
      </w:pPr>
      <w:r>
        <w:rPr>
          <w:rFonts w:hint="eastAsia"/>
          <w:sz w:val="24"/>
          <w:lang w:val="en-US" w:eastAsia="zh-CN"/>
        </w:rPr>
        <w:t>实施地点</w:t>
      </w:r>
      <w:r>
        <w:rPr>
          <w:rFonts w:hint="eastAsia"/>
          <w:sz w:val="24"/>
        </w:rPr>
        <w:t>：上海</w:t>
      </w:r>
      <w:r>
        <w:rPr>
          <w:rFonts w:hint="eastAsia"/>
          <w:sz w:val="24"/>
          <w:lang w:val="en-US" w:eastAsia="zh-CN"/>
        </w:rPr>
        <w:t>市松江区</w:t>
      </w:r>
      <w:r>
        <w:rPr>
          <w:rFonts w:hint="eastAsia"/>
          <w:sz w:val="24"/>
        </w:rPr>
        <w:t>文翔路1</w:t>
      </w:r>
      <w:r>
        <w:rPr>
          <w:sz w:val="24"/>
        </w:rPr>
        <w:t>900</w:t>
      </w:r>
      <w:r>
        <w:rPr>
          <w:rFonts w:hint="eastAsia"/>
          <w:sz w:val="24"/>
        </w:rPr>
        <w:t>弄上海对外经贸大学</w:t>
      </w:r>
    </w:p>
    <w:p>
      <w:pPr>
        <w:spacing w:line="360" w:lineRule="auto"/>
        <w:rPr>
          <w:rFonts w:hint="eastAsia"/>
          <w:sz w:val="24"/>
          <w:highlight w:val="none"/>
        </w:rPr>
      </w:pPr>
      <w:r>
        <w:rPr>
          <w:rFonts w:hint="eastAsia"/>
          <w:sz w:val="24"/>
        </w:rPr>
        <w:t>实施时间：2</w:t>
      </w:r>
      <w:r>
        <w:rPr>
          <w:sz w:val="24"/>
        </w:rPr>
        <w:t>02</w:t>
      </w:r>
      <w:r>
        <w:rPr>
          <w:rFonts w:hint="eastAsia"/>
          <w:sz w:val="24"/>
          <w:lang w:val="en-US" w:eastAsia="zh-CN"/>
        </w:rPr>
        <w:t>2</w:t>
      </w:r>
      <w:r>
        <w:rPr>
          <w:rFonts w:hint="eastAsia"/>
          <w:sz w:val="24"/>
        </w:rPr>
        <w:t>年</w:t>
      </w:r>
      <w:r>
        <w:rPr>
          <w:rFonts w:hint="eastAsia"/>
          <w:sz w:val="24"/>
          <w:lang w:val="en-US" w:eastAsia="zh-CN"/>
        </w:rPr>
        <w:t>12</w:t>
      </w:r>
      <w:r>
        <w:rPr>
          <w:rFonts w:hint="eastAsia"/>
          <w:sz w:val="24"/>
        </w:rPr>
        <w:t>月1日-</w:t>
      </w:r>
      <w:r>
        <w:rPr>
          <w:sz w:val="24"/>
          <w:highlight w:val="none"/>
        </w:rPr>
        <w:t>202</w:t>
      </w:r>
      <w:r>
        <w:rPr>
          <w:rFonts w:hint="eastAsia"/>
          <w:sz w:val="24"/>
          <w:highlight w:val="none"/>
          <w:lang w:val="en-US" w:eastAsia="zh-CN"/>
        </w:rPr>
        <w:t>3</w:t>
      </w:r>
      <w:r>
        <w:rPr>
          <w:rFonts w:hint="eastAsia"/>
          <w:sz w:val="24"/>
          <w:highlight w:val="none"/>
        </w:rPr>
        <w:t>年</w:t>
      </w:r>
      <w:r>
        <w:rPr>
          <w:rFonts w:hint="eastAsia"/>
          <w:sz w:val="24"/>
          <w:highlight w:val="none"/>
          <w:lang w:val="en-US" w:eastAsia="zh-CN"/>
        </w:rPr>
        <w:t>11</w:t>
      </w:r>
      <w:r>
        <w:rPr>
          <w:rFonts w:hint="eastAsia"/>
          <w:sz w:val="24"/>
          <w:highlight w:val="none"/>
        </w:rPr>
        <w:t>月3</w:t>
      </w:r>
      <w:r>
        <w:rPr>
          <w:sz w:val="24"/>
          <w:highlight w:val="none"/>
        </w:rPr>
        <w:t>1</w:t>
      </w:r>
      <w:r>
        <w:rPr>
          <w:rFonts w:hint="eastAsia"/>
          <w:sz w:val="24"/>
          <w:highlight w:val="none"/>
        </w:rPr>
        <w:t>日</w:t>
      </w:r>
      <w:bookmarkStart w:id="0" w:name="_GoBack"/>
      <w:bookmarkEnd w:id="0"/>
    </w:p>
    <w:p>
      <w:pPr>
        <w:spacing w:line="360" w:lineRule="auto"/>
        <w:rPr>
          <w:rFonts w:hint="eastAsia"/>
          <w:sz w:val="24"/>
          <w:highlight w:val="none"/>
        </w:rPr>
      </w:pPr>
    </w:p>
    <w:p>
      <w:pPr>
        <w:spacing w:line="360" w:lineRule="auto"/>
        <w:rPr>
          <w:rFonts w:hint="default" w:eastAsiaTheme="minorEastAsia"/>
          <w:sz w:val="24"/>
          <w:highlight w:val="none"/>
          <w:lang w:val="en-US" w:eastAsia="zh-CN"/>
        </w:rPr>
      </w:pPr>
      <w:r>
        <w:rPr>
          <w:rFonts w:hint="eastAsia"/>
          <w:sz w:val="24"/>
          <w:highlight w:val="none"/>
          <w:lang w:val="en-US" w:eastAsia="zh-CN"/>
        </w:rPr>
        <w:t>三</w:t>
      </w:r>
      <w:r>
        <w:rPr>
          <w:rFonts w:hint="eastAsia"/>
          <w:sz w:val="24"/>
          <w:highlight w:val="none"/>
        </w:rPr>
        <w:t>、</w:t>
      </w:r>
      <w:r>
        <w:rPr>
          <w:rFonts w:hint="eastAsia"/>
          <w:sz w:val="24"/>
          <w:highlight w:val="none"/>
          <w:lang w:val="en-US" w:eastAsia="zh-CN"/>
        </w:rPr>
        <w:t>供应商要求</w:t>
      </w:r>
    </w:p>
    <w:p>
      <w:pPr>
        <w:spacing w:line="360" w:lineRule="auto"/>
        <w:ind w:firstLine="480" w:firstLineChars="200"/>
        <w:rPr>
          <w:rFonts w:hint="eastAsia"/>
          <w:sz w:val="24"/>
          <w:highlight w:val="none"/>
          <w:lang w:val="en-US" w:eastAsia="zh-CN"/>
        </w:rPr>
      </w:pPr>
      <w:r>
        <w:rPr>
          <w:rFonts w:hint="eastAsia"/>
          <w:sz w:val="24"/>
          <w:highlight w:val="none"/>
          <w:lang w:val="en-US" w:eastAsia="zh-CN"/>
        </w:rPr>
        <w:t>提供2个近3年内高校或者企事业单位数据中心服务器存储维保或运维服务项目的案例。</w:t>
      </w:r>
    </w:p>
    <w:p>
      <w:pPr>
        <w:spacing w:line="360" w:lineRule="auto"/>
        <w:ind w:firstLine="480" w:firstLineChars="200"/>
        <w:rPr>
          <w:rFonts w:hint="eastAsia"/>
          <w:sz w:val="24"/>
          <w:highlight w:val="none"/>
          <w:lang w:val="en-US" w:eastAsia="zh-CN"/>
        </w:rPr>
      </w:pPr>
    </w:p>
    <w:p>
      <w:pPr>
        <w:spacing w:line="360" w:lineRule="auto"/>
        <w:rPr>
          <w:sz w:val="24"/>
        </w:rPr>
      </w:pPr>
      <w:r>
        <w:rPr>
          <w:rFonts w:hint="eastAsia"/>
          <w:sz w:val="24"/>
          <w:lang w:val="en-US" w:eastAsia="zh-CN"/>
        </w:rPr>
        <w:t>四</w:t>
      </w:r>
      <w:r>
        <w:rPr>
          <w:rFonts w:hint="eastAsia"/>
          <w:sz w:val="24"/>
        </w:rPr>
        <w:t>、项目验收方法或标准</w:t>
      </w:r>
    </w:p>
    <w:p>
      <w:pPr>
        <w:spacing w:line="360" w:lineRule="auto"/>
        <w:ind w:firstLine="408"/>
        <w:rPr>
          <w:rFonts w:hint="eastAsia"/>
          <w:sz w:val="24"/>
          <w:lang w:eastAsia="zh-CN"/>
        </w:rPr>
      </w:pPr>
      <w:r>
        <w:rPr>
          <w:rFonts w:hint="eastAsia"/>
          <w:sz w:val="24"/>
        </w:rPr>
        <w:t>服务期满，请校外专家检查服务项目的执行情况</w:t>
      </w:r>
      <w:r>
        <w:rPr>
          <w:rFonts w:hint="eastAsia"/>
          <w:sz w:val="24"/>
          <w:lang w:eastAsia="zh-CN"/>
        </w:rPr>
        <w:t>。</w:t>
      </w:r>
    </w:p>
    <w:p>
      <w:pPr>
        <w:spacing w:line="360" w:lineRule="auto"/>
        <w:ind w:firstLine="408"/>
        <w:rPr>
          <w:rFonts w:hint="default"/>
          <w:sz w:val="24"/>
          <w:lang w:val="en-US" w:eastAsia="zh-CN"/>
        </w:rPr>
      </w:pPr>
    </w:p>
    <w:p>
      <w:pPr>
        <w:numPr>
          <w:ilvl w:val="0"/>
          <w:numId w:val="0"/>
        </w:numPr>
        <w:spacing w:line="360" w:lineRule="auto"/>
        <w:rPr>
          <w:rFonts w:hint="default"/>
          <w:sz w:val="24"/>
          <w:lang w:val="en-US" w:eastAsia="zh-CN"/>
        </w:rPr>
      </w:pPr>
      <w:r>
        <w:rPr>
          <w:rFonts w:hint="eastAsia"/>
          <w:sz w:val="24"/>
          <w:lang w:val="en-US" w:eastAsia="zh-CN"/>
        </w:rPr>
        <w:t>五、支付方式</w:t>
      </w:r>
    </w:p>
    <w:p>
      <w:pPr>
        <w:numPr>
          <w:ilvl w:val="0"/>
          <w:numId w:val="0"/>
        </w:numPr>
        <w:spacing w:line="360" w:lineRule="auto"/>
        <w:rPr>
          <w:rFonts w:hint="default"/>
          <w:sz w:val="24"/>
          <w:lang w:val="en-US" w:eastAsia="zh-CN"/>
        </w:rPr>
      </w:pPr>
      <w:r>
        <w:rPr>
          <w:rFonts w:hint="default"/>
          <w:sz w:val="24"/>
          <w:lang w:val="en-US" w:eastAsia="zh-CN"/>
        </w:rPr>
        <w:t>合同签订后，</w:t>
      </w:r>
      <w:r>
        <w:rPr>
          <w:rFonts w:hint="eastAsia"/>
          <w:sz w:val="24"/>
          <w:lang w:val="en-US" w:eastAsia="zh-CN"/>
        </w:rPr>
        <w:t>乙方向甲方支付10%合同款金额作为履约保证金，且</w:t>
      </w:r>
      <w:r>
        <w:rPr>
          <w:rFonts w:hint="default"/>
          <w:sz w:val="24"/>
          <w:lang w:val="en-US" w:eastAsia="zh-CN"/>
        </w:rPr>
        <w:t>甲方在收到有效的增值税普通发票后两周内即向乙方支付</w:t>
      </w:r>
      <w:r>
        <w:rPr>
          <w:rFonts w:hint="eastAsia"/>
          <w:sz w:val="24"/>
          <w:lang w:val="en-US" w:eastAsia="zh-CN"/>
        </w:rPr>
        <w:t>全部</w:t>
      </w:r>
      <w:r>
        <w:rPr>
          <w:rFonts w:hint="default"/>
          <w:sz w:val="24"/>
          <w:lang w:val="en-US" w:eastAsia="zh-CN"/>
        </w:rPr>
        <w:t>合同款</w:t>
      </w:r>
      <w:r>
        <w:rPr>
          <w:rFonts w:hint="eastAsia"/>
          <w:sz w:val="24"/>
          <w:lang w:val="en-US" w:eastAsia="zh-CN"/>
        </w:rPr>
        <w:t>，待项目验收通过后退回履约保证金。</w:t>
      </w:r>
    </w:p>
    <w:p>
      <w:pPr>
        <w:numPr>
          <w:ilvl w:val="0"/>
          <w:numId w:val="0"/>
        </w:numPr>
        <w:spacing w:line="360" w:lineRule="auto"/>
        <w:rPr>
          <w:rFonts w:hint="default"/>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D9BE4"/>
    <w:multiLevelType w:val="singleLevel"/>
    <w:tmpl w:val="CE4D9BE4"/>
    <w:lvl w:ilvl="0" w:tentative="0">
      <w:start w:val="2"/>
      <w:numFmt w:val="chineseCounting"/>
      <w:suff w:val="nothing"/>
      <w:lvlText w:val="%1、"/>
      <w:lvlJc w:val="left"/>
      <w:rPr>
        <w:rFonts w:hint="eastAsia"/>
      </w:rPr>
    </w:lvl>
  </w:abstractNum>
  <w:abstractNum w:abstractNumId="1">
    <w:nsid w:val="75D868BC"/>
    <w:multiLevelType w:val="singleLevel"/>
    <w:tmpl w:val="75D868B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ExZDIwMmM4NGUzMjQ1MWM3ODdmY2FlZDdkMWYifQ=="/>
  </w:docVars>
  <w:rsids>
    <w:rsidRoot w:val="00172A27"/>
    <w:rsid w:val="00034D32"/>
    <w:rsid w:val="00054D09"/>
    <w:rsid w:val="00136AD7"/>
    <w:rsid w:val="001D6811"/>
    <w:rsid w:val="002620F2"/>
    <w:rsid w:val="002C04D0"/>
    <w:rsid w:val="0032313F"/>
    <w:rsid w:val="003A517A"/>
    <w:rsid w:val="003B2260"/>
    <w:rsid w:val="004453F9"/>
    <w:rsid w:val="00455EF0"/>
    <w:rsid w:val="00456F4A"/>
    <w:rsid w:val="00522905"/>
    <w:rsid w:val="00581002"/>
    <w:rsid w:val="00601822"/>
    <w:rsid w:val="00617D5C"/>
    <w:rsid w:val="006268AB"/>
    <w:rsid w:val="006310B1"/>
    <w:rsid w:val="00681EB0"/>
    <w:rsid w:val="00727C32"/>
    <w:rsid w:val="00737BFA"/>
    <w:rsid w:val="007A4A79"/>
    <w:rsid w:val="007E3E57"/>
    <w:rsid w:val="0081207F"/>
    <w:rsid w:val="00843E14"/>
    <w:rsid w:val="008B3DCA"/>
    <w:rsid w:val="0095018B"/>
    <w:rsid w:val="00991195"/>
    <w:rsid w:val="009F1A76"/>
    <w:rsid w:val="009F2C96"/>
    <w:rsid w:val="00A02D9A"/>
    <w:rsid w:val="00A56018"/>
    <w:rsid w:val="00AE040E"/>
    <w:rsid w:val="00B464A9"/>
    <w:rsid w:val="00B73FB6"/>
    <w:rsid w:val="00B85E19"/>
    <w:rsid w:val="00BD6494"/>
    <w:rsid w:val="00C05E3B"/>
    <w:rsid w:val="00C26144"/>
    <w:rsid w:val="00C85ADA"/>
    <w:rsid w:val="00CB63B9"/>
    <w:rsid w:val="00D757D7"/>
    <w:rsid w:val="00DC518C"/>
    <w:rsid w:val="00E97C15"/>
    <w:rsid w:val="00F62930"/>
    <w:rsid w:val="00FA72BB"/>
    <w:rsid w:val="03A957E7"/>
    <w:rsid w:val="061F7AFC"/>
    <w:rsid w:val="0B920B54"/>
    <w:rsid w:val="110E59BF"/>
    <w:rsid w:val="14A9395A"/>
    <w:rsid w:val="17350577"/>
    <w:rsid w:val="1B4C2769"/>
    <w:rsid w:val="1BFA4D6E"/>
    <w:rsid w:val="1C311031"/>
    <w:rsid w:val="234B1ADB"/>
    <w:rsid w:val="26D82ED6"/>
    <w:rsid w:val="32C478B6"/>
    <w:rsid w:val="36314B05"/>
    <w:rsid w:val="3BF57B11"/>
    <w:rsid w:val="3DF45667"/>
    <w:rsid w:val="467E0548"/>
    <w:rsid w:val="488F3856"/>
    <w:rsid w:val="4A4848C5"/>
    <w:rsid w:val="574B22E6"/>
    <w:rsid w:val="5C6F0F17"/>
    <w:rsid w:val="5EAF11DE"/>
    <w:rsid w:val="60C447F8"/>
    <w:rsid w:val="67C12469"/>
    <w:rsid w:val="69B07401"/>
    <w:rsid w:val="6D40075D"/>
    <w:rsid w:val="6FAB0210"/>
    <w:rsid w:val="7411362E"/>
    <w:rsid w:val="7A137335"/>
    <w:rsid w:val="7AA8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0"/>
    <w:pPr>
      <w:keepNext/>
      <w:keepLines/>
      <w:widowControl w:val="0"/>
      <w:suppressAutoHyphens/>
      <w:spacing w:before="260" w:after="260" w:line="415" w:lineRule="auto"/>
      <w:jc w:val="both"/>
      <w:outlineLvl w:val="1"/>
    </w:pPr>
    <w:rPr>
      <w:rFonts w:ascii="Arial" w:hAnsi="Arial" w:eastAsia="黑体" w:cs="Arial"/>
      <w:b/>
      <w:bCs/>
      <w:kern w:val="1"/>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sz w:val="18"/>
      <w:szCs w:val="18"/>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文档结构图 字符"/>
    <w:basedOn w:val="11"/>
    <w:link w:val="3"/>
    <w:semiHidden/>
    <w:qFormat/>
    <w:uiPriority w:val="99"/>
    <w:rPr>
      <w:rFonts w:ascii="宋体" w:eastAsia="宋体"/>
      <w:sz w:val="18"/>
      <w:szCs w:val="18"/>
    </w:rPr>
  </w:style>
  <w:style w:type="paragraph" w:styleId="17">
    <w:name w:val="List Paragraph"/>
    <w:basedOn w:val="1"/>
    <w:link w:val="18"/>
    <w:qFormat/>
    <w:uiPriority w:val="34"/>
    <w:pPr>
      <w:ind w:firstLine="420" w:firstLineChars="200"/>
    </w:pPr>
  </w:style>
  <w:style w:type="character" w:customStyle="1" w:styleId="18">
    <w:name w:val="列表段落 字符"/>
    <w:link w:val="17"/>
    <w:qFormat/>
    <w:uiPriority w:val="34"/>
  </w:style>
  <w:style w:type="character" w:customStyle="1" w:styleId="19">
    <w:name w:val="批注文字 字符"/>
    <w:basedOn w:val="11"/>
    <w:link w:val="4"/>
    <w:semiHidden/>
    <w:qFormat/>
    <w:uiPriority w:val="99"/>
  </w:style>
  <w:style w:type="character" w:customStyle="1" w:styleId="20">
    <w:name w:val="批注主题 字符"/>
    <w:basedOn w:val="19"/>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1723</Words>
  <Characters>1955</Characters>
  <Lines>45</Lines>
  <Paragraphs>12</Paragraphs>
  <TotalTime>4</TotalTime>
  <ScaleCrop>false</ScaleCrop>
  <LinksUpToDate>false</LinksUpToDate>
  <CharactersWithSpaces>2002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Zwp</cp:lastModifiedBy>
  <dcterms:modified xsi:type="dcterms:W3CDTF">2022-10-26T08:32:05Z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77D8866EB29C4482B15C111853D0923E</vt:lpwstr>
  </property>
</Properties>
</file>